
<file path=[Content_Types].xml><?xml version="1.0" encoding="utf-8"?>
<Types xmlns="http://schemas.openxmlformats.org/package/2006/content-types">
  <Default Extension="xml" ContentType="application/xml"/>
  <Default Extension="png" ContentType="image/pn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5D217F" w14:textId="5796DC21" w:rsidR="00FA6B66" w:rsidRPr="004E0C74" w:rsidRDefault="00015717">
      <w:r w:rsidRPr="004E0C74">
        <w:rPr>
          <w:noProof/>
        </w:rPr>
        <mc:AlternateContent>
          <mc:Choice Requires="wps">
            <w:drawing>
              <wp:anchor distT="0" distB="0" distL="114300" distR="114300" simplePos="0" relativeHeight="251660288" behindDoc="0" locked="0" layoutInCell="1" allowOverlap="1" wp14:anchorId="0DA1AF90" wp14:editId="309B7062">
                <wp:simplePos x="0" y="0"/>
                <wp:positionH relativeFrom="page">
                  <wp:posOffset>847725</wp:posOffset>
                </wp:positionH>
                <wp:positionV relativeFrom="margin">
                  <wp:align>top</wp:align>
                </wp:positionV>
                <wp:extent cx="6288405" cy="2533650"/>
                <wp:effectExtent l="0" t="0" r="0" b="0"/>
                <wp:wrapNone/>
                <wp:docPr id="39"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8405" cy="2533650"/>
                        </a:xfrm>
                        <a:prstGeom prst="rect">
                          <a:avLst/>
                        </a:prstGeom>
                        <a:noFill/>
                        <a:ln>
                          <a:noFill/>
                        </a:ln>
                        <a:extLst>
                          <a:ext uri="{FAA26D3D-D897-4be2-8F04-BA451C77F1D7}">
                            <ma14:placeholderFlag xmlns:ma14="http://schemas.microsoft.com/office/mac/drawingml/2011/main"/>
                          </a:ex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CE56ECB" w14:textId="77777777" w:rsidR="005614B3" w:rsidRDefault="005614B3" w:rsidP="00FA6B66">
                            <w:pPr>
                              <w:pStyle w:val="Heading1"/>
                              <w:ind w:left="0"/>
                              <w:rPr>
                                <w:color w:val="A9C23F"/>
                                <w:sz w:val="64"/>
                                <w:szCs w:val="64"/>
                              </w:rPr>
                            </w:pPr>
                            <w:r w:rsidRPr="002B5CFF">
                              <w:rPr>
                                <w:color w:val="A9C23F"/>
                                <w:sz w:val="64"/>
                                <w:szCs w:val="64"/>
                              </w:rPr>
                              <w:t xml:space="preserve">Accountable Care </w:t>
                            </w:r>
                          </w:p>
                          <w:p w14:paraId="37DD248E" w14:textId="2495AB9D" w:rsidR="005614B3" w:rsidRPr="002B5CFF" w:rsidRDefault="005614B3" w:rsidP="00FA6B66">
                            <w:pPr>
                              <w:pStyle w:val="Heading1"/>
                              <w:ind w:left="0"/>
                              <w:rPr>
                                <w:color w:val="A9C23F"/>
                                <w:sz w:val="64"/>
                                <w:szCs w:val="64"/>
                              </w:rPr>
                            </w:pPr>
                            <w:r w:rsidRPr="002B5CFF">
                              <w:rPr>
                                <w:color w:val="A9C23F"/>
                                <w:sz w:val="64"/>
                                <w:szCs w:val="64"/>
                              </w:rPr>
                              <w:t xml:space="preserve">Organization (ACO) </w:t>
                            </w:r>
                          </w:p>
                          <w:p w14:paraId="2E9F3375" w14:textId="13D35B5D" w:rsidR="005614B3" w:rsidRPr="00224A04" w:rsidRDefault="005614B3" w:rsidP="00FA6B66">
                            <w:pPr>
                              <w:pStyle w:val="Heading1"/>
                              <w:ind w:left="0"/>
                              <w:rPr>
                                <w:color w:val="A9C23F"/>
                                <w:sz w:val="32"/>
                              </w:rPr>
                            </w:pPr>
                            <w:r w:rsidRPr="002B5CFF">
                              <w:rPr>
                                <w:color w:val="A9C23F"/>
                                <w:sz w:val="64"/>
                                <w:szCs w:val="64"/>
                              </w:rPr>
                              <w:t>Performance Guarantees (PGs)</w:t>
                            </w:r>
                            <w:r w:rsidRPr="00FA6B66">
                              <w:rPr>
                                <w:color w:val="A9C23F"/>
                                <w:sz w:val="40"/>
                                <w:szCs w:val="40"/>
                              </w:rPr>
                              <w:br/>
                            </w:r>
                            <w:r w:rsidR="00200DD3" w:rsidRPr="00200DD3">
                              <w:rPr>
                                <w:b/>
                                <w:color w:val="333F48"/>
                                <w:sz w:val="32"/>
                              </w:rPr>
                              <w:t>Standardized Plan ACO Reporting for Customers (SPARC)</w:t>
                            </w:r>
                            <w:r w:rsidRPr="00200DD3">
                              <w:rPr>
                                <w:color w:val="333F48"/>
                                <w:sz w:val="32"/>
                              </w:rPr>
                              <w:t xml:space="preserve"> </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1AF90" id="_x0000_t202" coordsize="21600,21600" o:spt="202" path="m0,0l0,21600,21600,21600,21600,0xe">
                <v:stroke joinstyle="miter"/>
                <v:path gradientshapeok="t" o:connecttype="rect"/>
              </v:shapetype>
              <v:shape id="Text Box 71" o:spid="_x0000_s1026" type="#_x0000_t202" style="position:absolute;margin-left:66.75pt;margin-top:0;width:495.15pt;height:199.5pt;z-index:251660288;visibility:visible;mso-wrap-style:square;mso-width-percent:0;mso-height-percent:0;mso-wrap-distance-left:9pt;mso-wrap-distance-top:0;mso-wrap-distance-right:9pt;mso-wrap-distance-bottom:0;mso-position-horizontal:absolute;mso-position-horizontal-relative:page;mso-position-vertical:top;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" filled="f" stroked="f">
                <v:textbox inset=",0,,0">
                  <w:txbxContent>
                    <w:p w14:paraId="1CE56ECB" w14:textId="77777777" w:rsidR="005614B3" w:rsidRDefault="005614B3" w:rsidP="00FA6B66">
                      <w:pPr>
                        <w:pStyle w:val="Heading1"/>
                        <w:ind w:left="0"/>
                        <w:rPr>
                          <w:color w:val="A9C23F"/>
                          <w:sz w:val="64"/>
                          <w:szCs w:val="64"/>
                        </w:rPr>
                      </w:pPr>
                      <w:r w:rsidRPr="002B5CFF">
                        <w:rPr>
                          <w:color w:val="A9C23F"/>
                          <w:sz w:val="64"/>
                          <w:szCs w:val="64"/>
                        </w:rPr>
                        <w:t xml:space="preserve">Accountable Care </w:t>
                      </w:r>
                    </w:p>
                    <w:p w14:paraId="37DD248E" w14:textId="2495AB9D" w:rsidR="005614B3" w:rsidRPr="002B5CFF" w:rsidRDefault="005614B3" w:rsidP="00FA6B66">
                      <w:pPr>
                        <w:pStyle w:val="Heading1"/>
                        <w:ind w:left="0"/>
                        <w:rPr>
                          <w:color w:val="A9C23F"/>
                          <w:sz w:val="64"/>
                          <w:szCs w:val="64"/>
                        </w:rPr>
                      </w:pPr>
                      <w:r w:rsidRPr="002B5CFF">
                        <w:rPr>
                          <w:color w:val="A9C23F"/>
                          <w:sz w:val="64"/>
                          <w:szCs w:val="64"/>
                        </w:rPr>
                        <w:t xml:space="preserve">Organization (ACO) </w:t>
                      </w:r>
                    </w:p>
                    <w:p w14:paraId="2E9F3375" w14:textId="13D35B5D" w:rsidR="005614B3" w:rsidRPr="00224A04" w:rsidRDefault="005614B3" w:rsidP="00FA6B66">
                      <w:pPr>
                        <w:pStyle w:val="Heading1"/>
                        <w:ind w:left="0"/>
                        <w:rPr>
                          <w:color w:val="A9C23F"/>
                          <w:sz w:val="32"/>
                        </w:rPr>
                      </w:pPr>
                      <w:r w:rsidRPr="002B5CFF">
                        <w:rPr>
                          <w:color w:val="A9C23F"/>
                          <w:sz w:val="64"/>
                          <w:szCs w:val="64"/>
                        </w:rPr>
                        <w:t>Performance Guarantees (PGs)</w:t>
                      </w:r>
                      <w:r w:rsidRPr="00FA6B66">
                        <w:rPr>
                          <w:color w:val="A9C23F"/>
                          <w:sz w:val="40"/>
                          <w:szCs w:val="40"/>
                        </w:rPr>
                        <w:br/>
                      </w:r>
                      <w:r w:rsidR="00200DD3" w:rsidRPr="00200DD3">
                        <w:rPr>
                          <w:b/>
                          <w:color w:val="333F48"/>
                          <w:sz w:val="32"/>
                        </w:rPr>
                        <w:t>Standardized Plan ACO Reporting for Customers (SPARC)</w:t>
                      </w:r>
                      <w:r w:rsidRPr="00200DD3">
                        <w:rPr>
                          <w:color w:val="333F48"/>
                          <w:sz w:val="32"/>
                        </w:rPr>
                        <w:t xml:space="preserve"> </w:t>
                      </w:r>
                    </w:p>
                  </w:txbxContent>
                </v:textbox>
                <w10:wrap anchorx="page" anchory="margin"/>
              </v:shape>
            </w:pict>
          </mc:Fallback>
        </mc:AlternateContent>
      </w:r>
      <w:r w:rsidRPr="004E0C74">
        <w:rPr>
          <w:rFonts w:eastAsia="Times New Roman" w:cs="Times New Roman"/>
          <w:noProof/>
          <w:color w:val="333F48"/>
          <w:shd w:val="clear" w:color="auto" w:fill="FFFFFF"/>
        </w:rPr>
        <w:drawing>
          <wp:anchor distT="0" distB="0" distL="114300" distR="114300" simplePos="0" relativeHeight="251659264" behindDoc="0" locked="0" layoutInCell="1" allowOverlap="1" wp14:anchorId="04A67C07" wp14:editId="1799B068">
            <wp:simplePos x="0" y="0"/>
            <wp:positionH relativeFrom="column">
              <wp:posOffset>4595495</wp:posOffset>
            </wp:positionH>
            <wp:positionV relativeFrom="paragraph">
              <wp:posOffset>-32657</wp:posOffset>
            </wp:positionV>
            <wp:extent cx="1513840" cy="490855"/>
            <wp:effectExtent l="0" t="0" r="10160" b="0"/>
            <wp:wrapNone/>
            <wp:docPr id="2" name="Picture 1" descr="CPR_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CPR_Logo_RGB.jpg"/>
                    <pic:cNvPicPr>
                      <a:picLocks noChangeAspect="1"/>
                    </pic:cNvPicPr>
                  </pic:nvPicPr>
                  <pic:blipFill>
                    <a:blip r:embed="rId8" cstate="hqprint">
                      <a:extLst>
                        <a:ext uri="{BEBA8EAE-BF5A-486C-A8C5-ECC9F3942E4B}">
                          <a14:imgProps xmlns:a14="http://schemas.microsoft.com/office/drawing/2010/main">
                            <a14:imgLayer r:embed="rId9">
                              <a14:imgEffect>
                                <a14:backgroundRemoval t="0" b="100000" l="0" r="100000">
                                  <a14:foregroundMark x1="8398" y1="16800" x2="10303" y2="26667"/>
                                  <a14:foregroundMark x1="29004" y1="40800" x2="23896" y2="40800"/>
                                  <a14:foregroundMark x1="37056" y1="40800" x2="39394" y2="41333"/>
                                  <a14:foregroundMark x1="46320" y1="29867" x2="45974" y2="39467"/>
                                  <a14:foregroundMark x1="58355" y1="42133" x2="55411" y2="42133"/>
                                  <a14:foregroundMark x1="66320" y1="31200" x2="66147" y2="40267"/>
                                  <a14:foregroundMark x1="70909" y1="45333" x2="71082" y2="52267"/>
                                  <a14:foregroundMark x1="88745" y1="40800" x2="86926" y2="40000"/>
                                  <a14:foregroundMark x1="95844" y1="30667" x2="95844" y2="43200"/>
                                  <a14:foregroundMark x1="72727" y1="89067" x2="72727" y2="92800"/>
                                  <a14:foregroundMark x1="64329" y1="88267" x2="64329" y2="91467"/>
                                  <a14:foregroundMark x1="61039" y1="86667" x2="60606" y2="86667"/>
                                  <a14:foregroundMark x1="55671" y1="88533" x2="55671" y2="90133"/>
                                  <a14:foregroundMark x1="51688" y1="89600" x2="51688" y2="91733"/>
                                  <a14:foregroundMark x1="47532" y1="86400" x2="47532" y2="87733"/>
                                  <a14:foregroundMark x1="78874" y1="43200" x2="78701" y2="50400"/>
                                  <a14:foregroundMark x1="43117" y1="89067" x2="43117" y2="90933"/>
                                  <a14:foregroundMark x1="37056" y1="88533" x2="37056" y2="90400"/>
                                  <a14:foregroundMark x1="32814" y1="90933" x2="32814" y2="92800"/>
                                  <a14:foregroundMark x1="27359" y1="90133" x2="27359" y2="91467"/>
                                  <a14:foregroundMark x1="24502" y1="95467" x2="24502" y2="97333"/>
                                  <a14:foregroundMark x1="20606" y1="86667" x2="20606" y2="86667"/>
                                  <a14:foregroundMark x1="15671" y1="88533" x2="15671" y2="90400"/>
                                  <a14:foregroundMark x1="9524" y1="88267" x2="9524" y2="88267"/>
                                  <a14:foregroundMark x1="5801" y1="86400" x2="5801" y2="86400"/>
                                  <a14:foregroundMark x1="1039" y1="87200" x2="1039" y2="87200"/>
                                  <a14:foregroundMark x1="79307" y1="61067" x2="78961" y2="69333"/>
                                  <a14:backgroundMark x1="65887" y1="89600" x2="65368" y2="89600"/>
                                  <a14:backgroundMark x1="65541" y1="96800" x2="65541" y2="98400"/>
                                  <a14:backgroundMark x1="48831" y1="96533" x2="48831" y2="98667"/>
                                  <a14:backgroundMark x1="20606" y1="91733" x2="20606" y2="91733"/>
                                  <a14:backgroundMark x1="16883" y1="90400" x2="16883" y2="90400"/>
                                  <a14:backgroundMark x1="11082" y1="90933" x2="10563" y2="90133"/>
                                  <a14:backgroundMark x1="10563" y1="96533" x2="10563" y2="96533"/>
                                </a14:backgroundRemoval>
                              </a14:imgEffect>
                            </a14:imgLayer>
                          </a14:imgProps>
                        </a:ext>
                        <a:ext uri="{28A0092B-C50C-407E-A947-70E740481C1C}">
                          <a14:useLocalDpi xmlns:a14="http://schemas.microsoft.com/office/drawing/2010/main" val="0"/>
                        </a:ext>
                      </a:extLst>
                    </a:blip>
                    <a:stretch>
                      <a:fillRect/>
                    </a:stretch>
                  </pic:blipFill>
                  <pic:spPr>
                    <a:xfrm>
                      <a:off x="0" y="0"/>
                      <a:ext cx="1513840" cy="490855"/>
                    </a:xfrm>
                    <a:prstGeom prst="rect">
                      <a:avLst/>
                    </a:prstGeom>
                  </pic:spPr>
                </pic:pic>
              </a:graphicData>
            </a:graphic>
            <wp14:sizeRelH relativeFrom="page">
              <wp14:pctWidth>0</wp14:pctWidth>
            </wp14:sizeRelH>
            <wp14:sizeRelV relativeFrom="page">
              <wp14:pctHeight>0</wp14:pctHeight>
            </wp14:sizeRelV>
          </wp:anchor>
        </w:drawing>
      </w:r>
    </w:p>
    <w:p w14:paraId="7DDADCF3" w14:textId="77777777" w:rsidR="00FA6B66" w:rsidRPr="004E0C74" w:rsidRDefault="00FA6B66"/>
    <w:p w14:paraId="505B51FC" w14:textId="77777777" w:rsidR="00FA6B66" w:rsidRPr="004E0C74" w:rsidRDefault="00FA6B66"/>
    <w:p w14:paraId="5A650630" w14:textId="77777777" w:rsidR="00FA6B66" w:rsidRPr="004E0C74" w:rsidRDefault="00FA6B66"/>
    <w:p w14:paraId="70AB50E0" w14:textId="77777777" w:rsidR="00FA6B66" w:rsidRPr="004E0C74" w:rsidRDefault="00FA6B66"/>
    <w:p w14:paraId="774AA1B9" w14:textId="77777777" w:rsidR="00FA6B66" w:rsidRPr="004E0C74" w:rsidRDefault="00FA6B66"/>
    <w:p w14:paraId="052B3C42" w14:textId="77777777" w:rsidR="00FA6B66" w:rsidRPr="004E0C74" w:rsidRDefault="00FA6B66"/>
    <w:p w14:paraId="66B361CD" w14:textId="77777777" w:rsidR="00FA6B66" w:rsidRPr="004E0C74" w:rsidRDefault="00FA6B66"/>
    <w:p w14:paraId="0ABBEDA9" w14:textId="77777777" w:rsidR="00FA6B66" w:rsidRPr="004E0C74" w:rsidRDefault="00FA6B66"/>
    <w:p w14:paraId="66992D5B" w14:textId="77777777" w:rsidR="00FA6B66" w:rsidRPr="004E0C74" w:rsidRDefault="00FA6B66" w:rsidP="00FA6B66">
      <w:pPr>
        <w:spacing w:after="200" w:line="276" w:lineRule="auto"/>
        <w:rPr>
          <w:b/>
          <w:color w:val="A9C23F"/>
          <w:sz w:val="26"/>
          <w:szCs w:val="26"/>
        </w:rPr>
      </w:pPr>
    </w:p>
    <w:p w14:paraId="6DDDF791" w14:textId="77777777" w:rsidR="00015717" w:rsidRPr="004E0C74" w:rsidRDefault="00015717" w:rsidP="00FA6B66">
      <w:pPr>
        <w:spacing w:after="200" w:line="276" w:lineRule="auto"/>
        <w:rPr>
          <w:b/>
          <w:color w:val="A9C23F"/>
          <w:sz w:val="26"/>
          <w:szCs w:val="26"/>
        </w:rPr>
      </w:pPr>
    </w:p>
    <w:p w14:paraId="7082AA06" w14:textId="77777777" w:rsidR="00B771E2" w:rsidRPr="004E0C74" w:rsidRDefault="00B771E2" w:rsidP="00EF4C03">
      <w:pPr>
        <w:spacing w:after="200" w:line="276" w:lineRule="auto"/>
        <w:rPr>
          <w:b/>
          <w:color w:val="A9C23F"/>
          <w:sz w:val="26"/>
          <w:szCs w:val="26"/>
        </w:rPr>
      </w:pPr>
    </w:p>
    <w:p w14:paraId="664BF5E8" w14:textId="77777777" w:rsidR="00B771E2" w:rsidRPr="004E0C74" w:rsidRDefault="00B771E2" w:rsidP="00EF4C03">
      <w:pPr>
        <w:spacing w:after="200" w:line="276" w:lineRule="auto"/>
        <w:rPr>
          <w:b/>
          <w:color w:val="A9C23F"/>
          <w:sz w:val="26"/>
          <w:szCs w:val="26"/>
        </w:rPr>
      </w:pPr>
    </w:p>
    <w:p w14:paraId="1D6DE868" w14:textId="187F4A24" w:rsidR="00FA6B66" w:rsidRPr="004E0C74" w:rsidRDefault="00FA6B66" w:rsidP="00EF4C03">
      <w:pPr>
        <w:spacing w:after="200" w:line="276" w:lineRule="auto"/>
        <w:rPr>
          <w:b/>
          <w:color w:val="A9C23F"/>
          <w:sz w:val="22"/>
          <w:szCs w:val="22"/>
        </w:rPr>
      </w:pPr>
      <w:r w:rsidRPr="004E0C74">
        <w:rPr>
          <w:b/>
          <w:color w:val="A9C23F"/>
          <w:sz w:val="22"/>
          <w:szCs w:val="22"/>
        </w:rPr>
        <w:t xml:space="preserve">PURPOSE </w:t>
      </w:r>
    </w:p>
    <w:p w14:paraId="478360E9" w14:textId="5867F450" w:rsidR="00446AC8" w:rsidRPr="004E0C74" w:rsidRDefault="00446AC8" w:rsidP="00EF4C03">
      <w:pPr>
        <w:spacing w:after="200" w:line="276" w:lineRule="auto"/>
        <w:rPr>
          <w:sz w:val="22"/>
          <w:szCs w:val="22"/>
        </w:rPr>
      </w:pPr>
      <w:r w:rsidRPr="004E0C74">
        <w:rPr>
          <w:sz w:val="22"/>
          <w:szCs w:val="22"/>
        </w:rPr>
        <w:t xml:space="preserve">These ACO </w:t>
      </w:r>
      <w:r w:rsidR="00727259">
        <w:rPr>
          <w:sz w:val="22"/>
          <w:szCs w:val="22"/>
        </w:rPr>
        <w:t>Performance Guarantees</w:t>
      </w:r>
      <w:r w:rsidRPr="004E0C74">
        <w:rPr>
          <w:sz w:val="22"/>
          <w:szCs w:val="22"/>
        </w:rPr>
        <w:t xml:space="preserve"> </w:t>
      </w:r>
      <w:r w:rsidR="00117E07" w:rsidRPr="004E0C74">
        <w:rPr>
          <w:sz w:val="22"/>
          <w:szCs w:val="22"/>
        </w:rPr>
        <w:t xml:space="preserve">may </w:t>
      </w:r>
      <w:r w:rsidR="00FA6B66" w:rsidRPr="004E0C74">
        <w:rPr>
          <w:sz w:val="22"/>
          <w:szCs w:val="22"/>
        </w:rPr>
        <w:t xml:space="preserve">be used </w:t>
      </w:r>
      <w:r w:rsidR="00117E07" w:rsidRPr="004E0C74">
        <w:rPr>
          <w:sz w:val="22"/>
          <w:szCs w:val="22"/>
        </w:rPr>
        <w:t>by</w:t>
      </w:r>
      <w:r w:rsidR="00FA6B66" w:rsidRPr="004E0C74">
        <w:rPr>
          <w:sz w:val="22"/>
          <w:szCs w:val="22"/>
        </w:rPr>
        <w:t xml:space="preserve"> the employer-purchaser</w:t>
      </w:r>
      <w:r w:rsidR="007F1303" w:rsidRPr="004E0C74">
        <w:rPr>
          <w:sz w:val="22"/>
          <w:szCs w:val="22"/>
        </w:rPr>
        <w:t xml:space="preserve"> customer</w:t>
      </w:r>
      <w:r w:rsidR="00FA6B66" w:rsidRPr="004E0C74">
        <w:rPr>
          <w:sz w:val="22"/>
          <w:szCs w:val="22"/>
        </w:rPr>
        <w:t xml:space="preserve"> (“Company”) </w:t>
      </w:r>
      <w:r w:rsidRPr="004E0C74">
        <w:rPr>
          <w:sz w:val="22"/>
          <w:szCs w:val="22"/>
        </w:rPr>
        <w:t>when either:</w:t>
      </w:r>
    </w:p>
    <w:p w14:paraId="50019772" w14:textId="548CB543" w:rsidR="00446AC8" w:rsidRPr="004E0C74" w:rsidRDefault="00446AC8" w:rsidP="00446AC8">
      <w:pPr>
        <w:pStyle w:val="ListParagraph"/>
        <w:numPr>
          <w:ilvl w:val="0"/>
          <w:numId w:val="2"/>
        </w:numPr>
        <w:spacing w:after="200" w:line="276" w:lineRule="auto"/>
        <w:rPr>
          <w:sz w:val="22"/>
          <w:szCs w:val="22"/>
        </w:rPr>
      </w:pPr>
      <w:r w:rsidRPr="004E0C74">
        <w:rPr>
          <w:sz w:val="22"/>
          <w:szCs w:val="22"/>
        </w:rPr>
        <w:t xml:space="preserve">Entering into or already having an agreement with the </w:t>
      </w:r>
      <w:r w:rsidR="00FA6B66" w:rsidRPr="004E0C74">
        <w:rPr>
          <w:sz w:val="22"/>
          <w:szCs w:val="22"/>
        </w:rPr>
        <w:t>health plan (“Administrator”)</w:t>
      </w:r>
      <w:r w:rsidRPr="004E0C74">
        <w:rPr>
          <w:sz w:val="22"/>
          <w:szCs w:val="22"/>
        </w:rPr>
        <w:t xml:space="preserve"> where </w:t>
      </w:r>
      <w:r w:rsidR="00CB61FF" w:rsidRPr="004E0C74">
        <w:rPr>
          <w:sz w:val="22"/>
          <w:szCs w:val="22"/>
        </w:rPr>
        <w:t xml:space="preserve">employees </w:t>
      </w:r>
      <w:r w:rsidR="001F55D4" w:rsidRPr="004E0C74">
        <w:rPr>
          <w:sz w:val="22"/>
          <w:szCs w:val="22"/>
        </w:rPr>
        <w:t>and</w:t>
      </w:r>
      <w:r w:rsidR="00CB61FF" w:rsidRPr="004E0C74">
        <w:rPr>
          <w:sz w:val="22"/>
          <w:szCs w:val="22"/>
        </w:rPr>
        <w:t xml:space="preserve"> dependents (“Plan Participants”) are</w:t>
      </w:r>
      <w:r w:rsidRPr="004E0C74">
        <w:rPr>
          <w:sz w:val="22"/>
          <w:szCs w:val="22"/>
        </w:rPr>
        <w:t xml:space="preserve"> attributed to an ACO (“attribution model ACO”), or;</w:t>
      </w:r>
    </w:p>
    <w:p w14:paraId="1C79AA49" w14:textId="0B052C41" w:rsidR="00E52DED" w:rsidRPr="004E0C74" w:rsidRDefault="00446AC8" w:rsidP="00446AC8">
      <w:pPr>
        <w:pStyle w:val="ListParagraph"/>
        <w:numPr>
          <w:ilvl w:val="0"/>
          <w:numId w:val="2"/>
        </w:numPr>
        <w:spacing w:after="200" w:line="276" w:lineRule="auto"/>
        <w:rPr>
          <w:sz w:val="22"/>
          <w:szCs w:val="22"/>
        </w:rPr>
      </w:pPr>
      <w:r w:rsidRPr="004E0C74">
        <w:rPr>
          <w:sz w:val="22"/>
          <w:szCs w:val="22"/>
        </w:rPr>
        <w:t xml:space="preserve">Entering into or already having an ACO agreement with the Administrator where </w:t>
      </w:r>
      <w:r w:rsidR="00CB61FF" w:rsidRPr="004E0C74">
        <w:rPr>
          <w:sz w:val="22"/>
          <w:szCs w:val="22"/>
        </w:rPr>
        <w:t xml:space="preserve">Plan Participants </w:t>
      </w:r>
      <w:r w:rsidRPr="004E0C74">
        <w:rPr>
          <w:sz w:val="22"/>
          <w:szCs w:val="22"/>
        </w:rPr>
        <w:t xml:space="preserve">elect into an ACO product (“product model ACO”). </w:t>
      </w:r>
      <w:r w:rsidR="00FA6B66" w:rsidRPr="004E0C74">
        <w:rPr>
          <w:sz w:val="22"/>
          <w:szCs w:val="22"/>
        </w:rPr>
        <w:t xml:space="preserve"> </w:t>
      </w:r>
    </w:p>
    <w:p w14:paraId="5A4FD72A" w14:textId="0C4F4928" w:rsidR="002B5CFF" w:rsidRPr="004E0C74" w:rsidRDefault="00CB61FF" w:rsidP="00EF4C03">
      <w:pPr>
        <w:spacing w:after="200" w:line="276" w:lineRule="auto"/>
        <w:rPr>
          <w:sz w:val="22"/>
          <w:szCs w:val="22"/>
        </w:rPr>
      </w:pPr>
      <w:r w:rsidRPr="004E0C74">
        <w:rPr>
          <w:sz w:val="22"/>
          <w:szCs w:val="22"/>
        </w:rPr>
        <w:t>This document contains p</w:t>
      </w:r>
      <w:r w:rsidR="002B5CFF" w:rsidRPr="004E0C74">
        <w:rPr>
          <w:sz w:val="22"/>
          <w:szCs w:val="22"/>
        </w:rPr>
        <w:t xml:space="preserve">laceholders for the percentage of fees at risk, </w:t>
      </w:r>
      <w:r w:rsidRPr="004E0C74">
        <w:rPr>
          <w:sz w:val="22"/>
          <w:szCs w:val="22"/>
        </w:rPr>
        <w:t xml:space="preserve">which the </w:t>
      </w:r>
      <w:r w:rsidR="002B5CFF" w:rsidRPr="004E0C74">
        <w:rPr>
          <w:sz w:val="22"/>
          <w:szCs w:val="22"/>
        </w:rPr>
        <w:t xml:space="preserve">Company will want to consider alongside percentage of fees at risk for </w:t>
      </w:r>
      <w:r w:rsidR="004723D2">
        <w:rPr>
          <w:sz w:val="22"/>
          <w:szCs w:val="22"/>
        </w:rPr>
        <w:t xml:space="preserve">its other, </w:t>
      </w:r>
      <w:r w:rsidR="002B5CFF" w:rsidRPr="004E0C74">
        <w:rPr>
          <w:sz w:val="22"/>
          <w:szCs w:val="22"/>
        </w:rPr>
        <w:t xml:space="preserve">non-ACO </w:t>
      </w:r>
      <w:r w:rsidR="004723D2">
        <w:rPr>
          <w:sz w:val="22"/>
          <w:szCs w:val="22"/>
        </w:rPr>
        <w:t xml:space="preserve">related </w:t>
      </w:r>
      <w:r w:rsidR="00727259">
        <w:rPr>
          <w:sz w:val="22"/>
          <w:szCs w:val="22"/>
        </w:rPr>
        <w:t>Performance Guarantees</w:t>
      </w:r>
      <w:r w:rsidR="002B5CFF" w:rsidRPr="004E0C74">
        <w:rPr>
          <w:sz w:val="22"/>
          <w:szCs w:val="22"/>
        </w:rPr>
        <w:t>.</w:t>
      </w:r>
    </w:p>
    <w:p w14:paraId="02867775" w14:textId="22E6E8B2" w:rsidR="00FA6B66" w:rsidRPr="004E0C74" w:rsidRDefault="00B771E2" w:rsidP="00EF4C03">
      <w:pPr>
        <w:spacing w:after="200" w:line="276" w:lineRule="auto"/>
        <w:rPr>
          <w:b/>
          <w:sz w:val="22"/>
          <w:szCs w:val="22"/>
        </w:rPr>
      </w:pPr>
      <w:r w:rsidRPr="004E0C74">
        <w:rPr>
          <w:b/>
          <w:sz w:val="22"/>
          <w:szCs w:val="22"/>
        </w:rPr>
        <w:t xml:space="preserve">Note:  This document can be provided directly to the Administrator when requesting specific ACO </w:t>
      </w:r>
      <w:r w:rsidR="002B5CFF" w:rsidRPr="004E0C74">
        <w:rPr>
          <w:b/>
          <w:sz w:val="22"/>
          <w:szCs w:val="22"/>
        </w:rPr>
        <w:t>P</w:t>
      </w:r>
      <w:r w:rsidR="00727259">
        <w:rPr>
          <w:b/>
          <w:sz w:val="22"/>
          <w:szCs w:val="22"/>
        </w:rPr>
        <w:t xml:space="preserve">erformance </w:t>
      </w:r>
      <w:r w:rsidR="002B5CFF" w:rsidRPr="004E0C74">
        <w:rPr>
          <w:b/>
          <w:sz w:val="22"/>
          <w:szCs w:val="22"/>
        </w:rPr>
        <w:t>G</w:t>
      </w:r>
      <w:r w:rsidR="00727259">
        <w:rPr>
          <w:b/>
          <w:sz w:val="22"/>
          <w:szCs w:val="22"/>
        </w:rPr>
        <w:t>uarantee</w:t>
      </w:r>
      <w:r w:rsidR="002B5CFF" w:rsidRPr="004E0C74">
        <w:rPr>
          <w:b/>
          <w:sz w:val="22"/>
          <w:szCs w:val="22"/>
        </w:rPr>
        <w:t>s</w:t>
      </w:r>
      <w:r w:rsidRPr="004E0C74">
        <w:rPr>
          <w:b/>
          <w:sz w:val="22"/>
          <w:szCs w:val="22"/>
        </w:rPr>
        <w:t>, however, we recommend re</w:t>
      </w:r>
      <w:r w:rsidR="00225CF1" w:rsidRPr="004E0C74">
        <w:rPr>
          <w:b/>
          <w:sz w:val="22"/>
          <w:szCs w:val="22"/>
        </w:rPr>
        <w:t>placing</w:t>
      </w:r>
      <w:r w:rsidRPr="004E0C74">
        <w:rPr>
          <w:b/>
          <w:sz w:val="22"/>
          <w:szCs w:val="22"/>
        </w:rPr>
        <w:t xml:space="preserve"> the red text in this document</w:t>
      </w:r>
      <w:r w:rsidR="00225CF1" w:rsidRPr="004E0C74">
        <w:rPr>
          <w:b/>
          <w:sz w:val="22"/>
          <w:szCs w:val="22"/>
        </w:rPr>
        <w:t xml:space="preserve"> with Company’s specifics</w:t>
      </w:r>
      <w:r w:rsidRPr="004E0C74">
        <w:rPr>
          <w:b/>
          <w:sz w:val="22"/>
          <w:szCs w:val="22"/>
        </w:rPr>
        <w:t xml:space="preserve"> </w:t>
      </w:r>
      <w:r w:rsidR="00D12F4E">
        <w:rPr>
          <w:b/>
          <w:sz w:val="22"/>
          <w:szCs w:val="22"/>
        </w:rPr>
        <w:t>to set a baseline prior to</w:t>
      </w:r>
      <w:r w:rsidRPr="004E0C74">
        <w:rPr>
          <w:b/>
          <w:sz w:val="22"/>
          <w:szCs w:val="22"/>
        </w:rPr>
        <w:t xml:space="preserve"> sharing it with the Administrator.</w:t>
      </w:r>
    </w:p>
    <w:p w14:paraId="3F1C2AE3" w14:textId="0F64F3F4" w:rsidR="00015717" w:rsidRPr="004E0C74" w:rsidRDefault="00015717" w:rsidP="00EF4C03">
      <w:pPr>
        <w:spacing w:after="200" w:line="276" w:lineRule="auto"/>
        <w:rPr>
          <w:b/>
          <w:sz w:val="22"/>
          <w:szCs w:val="22"/>
        </w:rPr>
      </w:pPr>
    </w:p>
    <w:p w14:paraId="5EED1770" w14:textId="77777777" w:rsidR="00FA6B66" w:rsidRPr="004E0C74" w:rsidRDefault="00FA6B66" w:rsidP="00EF4C03">
      <w:pPr>
        <w:spacing w:after="200" w:line="276" w:lineRule="auto"/>
        <w:rPr>
          <w:sz w:val="22"/>
          <w:szCs w:val="22"/>
          <w:u w:val="single"/>
        </w:rPr>
      </w:pPr>
    </w:p>
    <w:p w14:paraId="251D0EEC" w14:textId="77777777" w:rsidR="00CA1B74" w:rsidRPr="004E0C74" w:rsidRDefault="00CA1B74" w:rsidP="00EF4C03">
      <w:pPr>
        <w:spacing w:after="200" w:line="276" w:lineRule="auto"/>
        <w:rPr>
          <w:sz w:val="22"/>
          <w:szCs w:val="22"/>
          <w:u w:val="single"/>
        </w:rPr>
      </w:pPr>
    </w:p>
    <w:p w14:paraId="2C2877F6" w14:textId="1D5CACB0" w:rsidR="00FA6B66" w:rsidRPr="004E0C74" w:rsidRDefault="00446AC8" w:rsidP="00EF4C03">
      <w:pPr>
        <w:spacing w:after="200" w:line="276" w:lineRule="auto"/>
        <w:rPr>
          <w:sz w:val="22"/>
          <w:szCs w:val="22"/>
        </w:rPr>
      </w:pPr>
      <w:r w:rsidRPr="004E0C74">
        <w:rPr>
          <w:sz w:val="22"/>
          <w:szCs w:val="22"/>
          <w:u w:val="single"/>
        </w:rPr>
        <w:t>Disclaimer:</w:t>
      </w:r>
      <w:r w:rsidRPr="004E0C74">
        <w:rPr>
          <w:sz w:val="22"/>
          <w:szCs w:val="22"/>
        </w:rPr>
        <w:t xml:space="preserve">  These </w:t>
      </w:r>
      <w:r w:rsidR="002B5CFF" w:rsidRPr="004E0C74">
        <w:rPr>
          <w:sz w:val="22"/>
          <w:szCs w:val="22"/>
        </w:rPr>
        <w:t>P</w:t>
      </w:r>
      <w:r w:rsidR="00727259">
        <w:rPr>
          <w:sz w:val="22"/>
          <w:szCs w:val="22"/>
        </w:rPr>
        <w:t xml:space="preserve">erformance </w:t>
      </w:r>
      <w:r w:rsidR="002B5CFF" w:rsidRPr="004E0C74">
        <w:rPr>
          <w:sz w:val="22"/>
          <w:szCs w:val="22"/>
        </w:rPr>
        <w:t>G</w:t>
      </w:r>
      <w:r w:rsidR="00727259">
        <w:rPr>
          <w:sz w:val="22"/>
          <w:szCs w:val="22"/>
        </w:rPr>
        <w:t>uarantee</w:t>
      </w:r>
      <w:r w:rsidR="002B5CFF" w:rsidRPr="004E0C74">
        <w:rPr>
          <w:sz w:val="22"/>
          <w:szCs w:val="22"/>
        </w:rPr>
        <w:t>s</w:t>
      </w:r>
      <w:r w:rsidRPr="004E0C74">
        <w:rPr>
          <w:sz w:val="22"/>
          <w:szCs w:val="22"/>
        </w:rPr>
        <w:t xml:space="preserve"> are </w:t>
      </w:r>
      <w:r w:rsidR="00FA6B66" w:rsidRPr="004E0C74">
        <w:rPr>
          <w:sz w:val="22"/>
          <w:szCs w:val="22"/>
        </w:rPr>
        <w:t>provided for information</w:t>
      </w:r>
      <w:r w:rsidRPr="004E0C74">
        <w:rPr>
          <w:sz w:val="22"/>
          <w:szCs w:val="22"/>
        </w:rPr>
        <w:t>al</w:t>
      </w:r>
      <w:r w:rsidR="00FA6B66" w:rsidRPr="004E0C74">
        <w:rPr>
          <w:sz w:val="22"/>
          <w:szCs w:val="22"/>
        </w:rPr>
        <w:t xml:space="preserve"> purposes only. Before Company makes any decisions as to whether to use th</w:t>
      </w:r>
      <w:r w:rsidRPr="004E0C74">
        <w:rPr>
          <w:sz w:val="22"/>
          <w:szCs w:val="22"/>
        </w:rPr>
        <w:t xml:space="preserve">ese </w:t>
      </w:r>
      <w:r w:rsidR="002B5CFF" w:rsidRPr="004E0C74">
        <w:rPr>
          <w:sz w:val="22"/>
          <w:szCs w:val="22"/>
        </w:rPr>
        <w:t>P</w:t>
      </w:r>
      <w:r w:rsidR="00727259">
        <w:rPr>
          <w:sz w:val="22"/>
          <w:szCs w:val="22"/>
        </w:rPr>
        <w:t xml:space="preserve">erformance </w:t>
      </w:r>
      <w:r w:rsidR="002B5CFF" w:rsidRPr="004E0C74">
        <w:rPr>
          <w:sz w:val="22"/>
          <w:szCs w:val="22"/>
        </w:rPr>
        <w:t>G</w:t>
      </w:r>
      <w:r w:rsidR="00727259">
        <w:rPr>
          <w:sz w:val="22"/>
          <w:szCs w:val="22"/>
        </w:rPr>
        <w:t>uarantee</w:t>
      </w:r>
      <w:r w:rsidR="002B5CFF" w:rsidRPr="004E0C74">
        <w:rPr>
          <w:sz w:val="22"/>
          <w:szCs w:val="22"/>
        </w:rPr>
        <w:t>s</w:t>
      </w:r>
      <w:r w:rsidRPr="004E0C74">
        <w:rPr>
          <w:sz w:val="22"/>
          <w:szCs w:val="22"/>
        </w:rPr>
        <w:t xml:space="preserve"> </w:t>
      </w:r>
      <w:r w:rsidR="00FA6B66" w:rsidRPr="004E0C74">
        <w:rPr>
          <w:sz w:val="22"/>
          <w:szCs w:val="22"/>
        </w:rPr>
        <w:t>in whole o</w:t>
      </w:r>
      <w:r w:rsidRPr="004E0C74">
        <w:rPr>
          <w:sz w:val="22"/>
          <w:szCs w:val="22"/>
        </w:rPr>
        <w:t xml:space="preserve">r in part and to understand any </w:t>
      </w:r>
      <w:r w:rsidR="00FA6B66" w:rsidRPr="004E0C74">
        <w:rPr>
          <w:sz w:val="22"/>
          <w:szCs w:val="22"/>
        </w:rPr>
        <w:t xml:space="preserve">legal </w:t>
      </w:r>
      <w:r w:rsidRPr="004E0C74">
        <w:rPr>
          <w:sz w:val="22"/>
          <w:szCs w:val="22"/>
        </w:rPr>
        <w:t xml:space="preserve">or financial </w:t>
      </w:r>
      <w:r w:rsidR="00FA6B66" w:rsidRPr="004E0C74">
        <w:rPr>
          <w:sz w:val="22"/>
          <w:szCs w:val="22"/>
        </w:rPr>
        <w:t>implications of doing so,</w:t>
      </w:r>
      <w:r w:rsidRPr="004E0C74">
        <w:rPr>
          <w:sz w:val="22"/>
          <w:szCs w:val="22"/>
        </w:rPr>
        <w:t xml:space="preserve"> Company should consult with qualified </w:t>
      </w:r>
      <w:r w:rsidR="00FA6B66" w:rsidRPr="004E0C74">
        <w:rPr>
          <w:sz w:val="22"/>
          <w:szCs w:val="22"/>
        </w:rPr>
        <w:t>professional</w:t>
      </w:r>
      <w:r w:rsidRPr="004E0C74">
        <w:rPr>
          <w:sz w:val="22"/>
          <w:szCs w:val="22"/>
        </w:rPr>
        <w:t xml:space="preserve">s (e.g. </w:t>
      </w:r>
      <w:r w:rsidR="004723D2">
        <w:rPr>
          <w:sz w:val="22"/>
          <w:szCs w:val="22"/>
        </w:rPr>
        <w:t>l</w:t>
      </w:r>
      <w:r w:rsidRPr="004E0C74">
        <w:rPr>
          <w:sz w:val="22"/>
          <w:szCs w:val="22"/>
        </w:rPr>
        <w:t xml:space="preserve">egal, </w:t>
      </w:r>
      <w:r w:rsidR="004723D2">
        <w:rPr>
          <w:sz w:val="22"/>
          <w:szCs w:val="22"/>
        </w:rPr>
        <w:t>f</w:t>
      </w:r>
      <w:r w:rsidRPr="004E0C74">
        <w:rPr>
          <w:sz w:val="22"/>
          <w:szCs w:val="22"/>
        </w:rPr>
        <w:t>inance)</w:t>
      </w:r>
      <w:r w:rsidR="00FA6B66" w:rsidRPr="004E0C74">
        <w:rPr>
          <w:sz w:val="22"/>
          <w:szCs w:val="22"/>
        </w:rPr>
        <w:t xml:space="preserve"> for specific advice tailored to its situation. </w:t>
      </w:r>
    </w:p>
    <w:p w14:paraId="4CF43F8C" w14:textId="40C54BAB" w:rsidR="006522B1" w:rsidRPr="004E0C74" w:rsidRDefault="006522B1">
      <w:pPr>
        <w:rPr>
          <w:b/>
          <w:sz w:val="22"/>
          <w:szCs w:val="22"/>
        </w:rPr>
      </w:pPr>
    </w:p>
    <w:p w14:paraId="6BF4C77E" w14:textId="353A80B0" w:rsidR="006522B1" w:rsidRPr="004E0C74" w:rsidRDefault="006522B1">
      <w:pPr>
        <w:rPr>
          <w:b/>
          <w:sz w:val="22"/>
          <w:szCs w:val="22"/>
        </w:rPr>
      </w:pPr>
    </w:p>
    <w:p w14:paraId="4AFEA9FE" w14:textId="4C543B83" w:rsidR="006522B1" w:rsidRDefault="00AC2ADE" w:rsidP="00553882">
      <w:pPr>
        <w:spacing w:after="200" w:line="276" w:lineRule="auto"/>
        <w:ind w:firstLine="360"/>
        <w:jc w:val="center"/>
        <w:rPr>
          <w:b/>
          <w:sz w:val="26"/>
          <w:szCs w:val="26"/>
          <w:u w:val="single"/>
        </w:rPr>
      </w:pPr>
      <w:r w:rsidRPr="00AC2ADE">
        <w:rPr>
          <w:b/>
          <w:color w:val="000000" w:themeColor="text1"/>
          <w:sz w:val="26"/>
          <w:szCs w:val="26"/>
          <w:u w:val="single"/>
        </w:rPr>
        <w:t xml:space="preserve">Summary </w:t>
      </w:r>
      <w:r>
        <w:rPr>
          <w:b/>
          <w:color w:val="000000" w:themeColor="text1"/>
          <w:sz w:val="26"/>
          <w:szCs w:val="26"/>
          <w:u w:val="single"/>
        </w:rPr>
        <w:t xml:space="preserve">Table </w:t>
      </w:r>
      <w:r w:rsidRPr="00AC2ADE">
        <w:rPr>
          <w:b/>
          <w:color w:val="000000" w:themeColor="text1"/>
          <w:sz w:val="26"/>
          <w:szCs w:val="26"/>
          <w:u w:val="single"/>
        </w:rPr>
        <w:t xml:space="preserve">of </w:t>
      </w:r>
      <w:r w:rsidR="006522B1" w:rsidRPr="00AC2ADE">
        <w:rPr>
          <w:b/>
          <w:color w:val="C00000"/>
          <w:sz w:val="26"/>
          <w:szCs w:val="26"/>
          <w:u w:val="single"/>
        </w:rPr>
        <w:t>[Company’s]</w:t>
      </w:r>
      <w:r w:rsidR="006522B1" w:rsidRPr="00AC2ADE">
        <w:rPr>
          <w:b/>
          <w:sz w:val="26"/>
          <w:szCs w:val="26"/>
          <w:u w:val="single"/>
        </w:rPr>
        <w:t xml:space="preserve"> ACO Performance Guarantee </w:t>
      </w:r>
    </w:p>
    <w:p w14:paraId="567BF6B7" w14:textId="1C8E6BB8" w:rsidR="00AC2ADE" w:rsidRPr="00AC2ADE" w:rsidRDefault="00AC2ADE" w:rsidP="00AC2ADE">
      <w:pPr>
        <w:spacing w:after="200" w:line="276" w:lineRule="auto"/>
        <w:rPr>
          <w:b/>
          <w:sz w:val="26"/>
          <w:szCs w:val="26"/>
          <w:u w:val="single"/>
        </w:rPr>
      </w:pPr>
      <w:r>
        <w:rPr>
          <w:sz w:val="22"/>
          <w:szCs w:val="22"/>
        </w:rPr>
        <w:t xml:space="preserve">Below is a summary table of </w:t>
      </w:r>
      <w:r w:rsidRPr="00200DD3">
        <w:rPr>
          <w:color w:val="C00000"/>
          <w:sz w:val="22"/>
          <w:szCs w:val="22"/>
        </w:rPr>
        <w:t>[Company’s]</w:t>
      </w:r>
      <w:r>
        <w:rPr>
          <w:sz w:val="22"/>
          <w:szCs w:val="22"/>
        </w:rPr>
        <w:t xml:space="preserve"> ACO Performance Guarantees. For more detail, proceed to the pages below.</w:t>
      </w:r>
    </w:p>
    <w:tbl>
      <w:tblPr>
        <w:tblStyle w:val="TableGrid"/>
        <w:tblW w:w="0" w:type="auto"/>
        <w:tblLook w:val="04A0" w:firstRow="1" w:lastRow="0" w:firstColumn="1" w:lastColumn="0" w:noHBand="0" w:noVBand="1"/>
      </w:tblPr>
      <w:tblGrid>
        <w:gridCol w:w="3315"/>
        <w:gridCol w:w="2037"/>
        <w:gridCol w:w="1423"/>
        <w:gridCol w:w="1353"/>
        <w:gridCol w:w="1222"/>
      </w:tblGrid>
      <w:tr w:rsidR="00B16EBB" w:rsidRPr="004E0C74" w14:paraId="3CC64BC5" w14:textId="1FD8915A" w:rsidTr="00AC2ADE">
        <w:trPr>
          <w:trHeight w:val="989"/>
        </w:trPr>
        <w:tc>
          <w:tcPr>
            <w:tcW w:w="3315" w:type="dxa"/>
            <w:shd w:val="clear" w:color="auto" w:fill="D9D9D9" w:themeFill="background1" w:themeFillShade="D9"/>
          </w:tcPr>
          <w:p w14:paraId="5271FE2C" w14:textId="75A2FE7B" w:rsidR="00B16EBB" w:rsidRPr="004E0C74" w:rsidRDefault="00B16EBB" w:rsidP="00AC2ADE">
            <w:pPr>
              <w:spacing w:line="276" w:lineRule="auto"/>
              <w:jc w:val="center"/>
              <w:rPr>
                <w:b/>
                <w:sz w:val="22"/>
                <w:szCs w:val="22"/>
              </w:rPr>
            </w:pPr>
            <w:r w:rsidRPr="004E0C74">
              <w:rPr>
                <w:b/>
                <w:sz w:val="22"/>
                <w:szCs w:val="22"/>
              </w:rPr>
              <w:t>Performance Guarantee</w:t>
            </w:r>
          </w:p>
        </w:tc>
        <w:tc>
          <w:tcPr>
            <w:tcW w:w="2037" w:type="dxa"/>
            <w:shd w:val="clear" w:color="auto" w:fill="D9D9D9" w:themeFill="background1" w:themeFillShade="D9"/>
          </w:tcPr>
          <w:p w14:paraId="7A30CA1A" w14:textId="0247F55F" w:rsidR="00B16EBB" w:rsidRPr="004E0C74" w:rsidRDefault="00B16EBB" w:rsidP="00AC2ADE">
            <w:pPr>
              <w:spacing w:line="276" w:lineRule="auto"/>
              <w:jc w:val="center"/>
              <w:rPr>
                <w:b/>
                <w:sz w:val="22"/>
                <w:szCs w:val="22"/>
              </w:rPr>
            </w:pPr>
            <w:r w:rsidRPr="004E0C74">
              <w:rPr>
                <w:b/>
                <w:sz w:val="22"/>
                <w:szCs w:val="22"/>
              </w:rPr>
              <w:t>Fees at Risk</w:t>
            </w:r>
          </w:p>
        </w:tc>
        <w:tc>
          <w:tcPr>
            <w:tcW w:w="1423" w:type="dxa"/>
            <w:shd w:val="clear" w:color="auto" w:fill="D9D9D9" w:themeFill="background1" w:themeFillShade="D9"/>
          </w:tcPr>
          <w:p w14:paraId="4F2F71F6" w14:textId="6C1FFCC4" w:rsidR="00B16EBB" w:rsidRPr="004E0C74" w:rsidRDefault="00B16EBB" w:rsidP="00AC2ADE">
            <w:pPr>
              <w:spacing w:line="276" w:lineRule="auto"/>
              <w:jc w:val="center"/>
              <w:rPr>
                <w:b/>
                <w:sz w:val="22"/>
                <w:szCs w:val="22"/>
              </w:rPr>
            </w:pPr>
            <w:r>
              <w:rPr>
                <w:b/>
                <w:sz w:val="22"/>
                <w:szCs w:val="22"/>
              </w:rPr>
              <w:t>Standard</w:t>
            </w:r>
          </w:p>
        </w:tc>
        <w:tc>
          <w:tcPr>
            <w:tcW w:w="1353" w:type="dxa"/>
            <w:shd w:val="clear" w:color="auto" w:fill="D9D9D9" w:themeFill="background1" w:themeFillShade="D9"/>
          </w:tcPr>
          <w:p w14:paraId="61E639FA" w14:textId="069DECD8" w:rsidR="00B16EBB" w:rsidRPr="004E0C74" w:rsidRDefault="00B16EBB" w:rsidP="00AC2ADE">
            <w:pPr>
              <w:spacing w:line="276" w:lineRule="auto"/>
              <w:jc w:val="center"/>
              <w:rPr>
                <w:b/>
                <w:sz w:val="22"/>
                <w:szCs w:val="22"/>
              </w:rPr>
            </w:pPr>
            <w:r>
              <w:rPr>
                <w:b/>
                <w:sz w:val="22"/>
                <w:szCs w:val="22"/>
              </w:rPr>
              <w:t xml:space="preserve">Result </w:t>
            </w:r>
          </w:p>
        </w:tc>
        <w:tc>
          <w:tcPr>
            <w:tcW w:w="1222" w:type="dxa"/>
            <w:shd w:val="clear" w:color="auto" w:fill="D9D9D9" w:themeFill="background1" w:themeFillShade="D9"/>
          </w:tcPr>
          <w:p w14:paraId="524CE736" w14:textId="4BD8034D" w:rsidR="00B16EBB" w:rsidRPr="00AC2ADE" w:rsidRDefault="00B16EBB" w:rsidP="00AC2ADE">
            <w:pPr>
              <w:spacing w:line="276" w:lineRule="auto"/>
              <w:jc w:val="center"/>
              <w:rPr>
                <w:b/>
                <w:sz w:val="20"/>
                <w:szCs w:val="20"/>
              </w:rPr>
            </w:pPr>
            <w:r w:rsidRPr="00AC2ADE">
              <w:rPr>
                <w:b/>
                <w:sz w:val="20"/>
                <w:szCs w:val="20"/>
              </w:rPr>
              <w:t xml:space="preserve">Funds Owed to </w:t>
            </w:r>
            <w:r w:rsidRPr="00AC2ADE">
              <w:rPr>
                <w:b/>
                <w:color w:val="C00000"/>
                <w:sz w:val="20"/>
                <w:szCs w:val="20"/>
              </w:rPr>
              <w:t>[Company]</w:t>
            </w:r>
          </w:p>
        </w:tc>
      </w:tr>
      <w:tr w:rsidR="00B16EBB" w:rsidRPr="004E0C74" w14:paraId="4AB4BAD4" w14:textId="6B4EE153" w:rsidTr="00C8535D">
        <w:tc>
          <w:tcPr>
            <w:tcW w:w="9350" w:type="dxa"/>
            <w:gridSpan w:val="5"/>
          </w:tcPr>
          <w:p w14:paraId="4C271DC5" w14:textId="54AE5809" w:rsidR="00B16EBB" w:rsidRPr="00B16EBB" w:rsidRDefault="00B16EBB" w:rsidP="00AC2ADE">
            <w:pPr>
              <w:pStyle w:val="ListParagraph"/>
              <w:numPr>
                <w:ilvl w:val="0"/>
                <w:numId w:val="18"/>
              </w:numPr>
              <w:spacing w:line="276" w:lineRule="auto"/>
              <w:rPr>
                <w:b/>
                <w:sz w:val="22"/>
                <w:szCs w:val="22"/>
              </w:rPr>
            </w:pPr>
            <w:r w:rsidRPr="00B16EBB">
              <w:rPr>
                <w:b/>
                <w:sz w:val="22"/>
                <w:szCs w:val="22"/>
              </w:rPr>
              <w:t>Shared Risk</w:t>
            </w:r>
            <w:r w:rsidR="00AC2ADE">
              <w:rPr>
                <w:rStyle w:val="FootnoteReference"/>
                <w:b/>
                <w:sz w:val="22"/>
                <w:szCs w:val="22"/>
              </w:rPr>
              <w:footnoteReference w:id="1"/>
            </w:r>
            <w:r w:rsidRPr="00B16EBB">
              <w:rPr>
                <w:b/>
                <w:sz w:val="22"/>
                <w:szCs w:val="22"/>
              </w:rPr>
              <w:t xml:space="preserve"> ACO Penetration</w:t>
            </w:r>
          </w:p>
        </w:tc>
      </w:tr>
      <w:tr w:rsidR="00B16EBB" w:rsidRPr="004E0C74" w14:paraId="415ABFD8" w14:textId="13ADE8B5" w:rsidTr="00B16EBB">
        <w:tc>
          <w:tcPr>
            <w:tcW w:w="3315" w:type="dxa"/>
          </w:tcPr>
          <w:p w14:paraId="5F53E792" w14:textId="30ADE54C" w:rsidR="00B16EBB" w:rsidRPr="004E0C74" w:rsidRDefault="00B16EBB" w:rsidP="00200DD3">
            <w:pPr>
              <w:spacing w:line="276" w:lineRule="auto"/>
              <w:ind w:left="160"/>
              <w:rPr>
                <w:sz w:val="22"/>
                <w:szCs w:val="22"/>
              </w:rPr>
            </w:pPr>
            <w:r w:rsidRPr="004E0C74">
              <w:rPr>
                <w:sz w:val="22"/>
                <w:szCs w:val="22"/>
              </w:rPr>
              <w:t xml:space="preserve">a.  </w:t>
            </w:r>
            <w:r w:rsidR="00E1097F" w:rsidRPr="004E0C74">
              <w:rPr>
                <w:sz w:val="22"/>
                <w:szCs w:val="22"/>
              </w:rPr>
              <w:t xml:space="preserve">Percent of contracted ACOs in shared risk arrangements </w:t>
            </w:r>
          </w:p>
        </w:tc>
        <w:tc>
          <w:tcPr>
            <w:tcW w:w="2037" w:type="dxa"/>
          </w:tcPr>
          <w:p w14:paraId="30E7A2BB" w14:textId="361AA6FA" w:rsidR="00B16EBB" w:rsidRPr="004E0C74" w:rsidRDefault="00B16EBB" w:rsidP="00AC2ADE">
            <w:pPr>
              <w:spacing w:line="276" w:lineRule="auto"/>
              <w:rPr>
                <w:color w:val="C00000"/>
                <w:sz w:val="22"/>
                <w:szCs w:val="22"/>
              </w:rPr>
            </w:pPr>
            <w:r w:rsidRPr="004E0C74">
              <w:rPr>
                <w:color w:val="C00000"/>
                <w:sz w:val="22"/>
                <w:szCs w:val="22"/>
              </w:rPr>
              <w:t>X</w:t>
            </w:r>
            <w:r w:rsidRPr="004E0C74">
              <w:rPr>
                <w:sz w:val="22"/>
                <w:szCs w:val="22"/>
              </w:rPr>
              <w:t>% of Medical Administration Services Only (ASO) Fees at Risk</w:t>
            </w:r>
          </w:p>
        </w:tc>
        <w:tc>
          <w:tcPr>
            <w:tcW w:w="1423" w:type="dxa"/>
          </w:tcPr>
          <w:p w14:paraId="55207BF4" w14:textId="35E801B6" w:rsidR="00B16EBB" w:rsidRPr="004E0C74" w:rsidRDefault="00C779AE" w:rsidP="00AC2ADE">
            <w:pPr>
              <w:spacing w:line="276" w:lineRule="auto"/>
              <w:jc w:val="center"/>
              <w:rPr>
                <w:color w:val="C00000"/>
                <w:sz w:val="22"/>
                <w:szCs w:val="22"/>
              </w:rPr>
            </w:pPr>
            <w:r w:rsidRPr="00C779AE">
              <w:rPr>
                <w:sz w:val="22"/>
                <w:szCs w:val="22"/>
              </w:rPr>
              <w:t>&gt;</w:t>
            </w:r>
            <w:r w:rsidRPr="00C779AE">
              <w:rPr>
                <w:color w:val="C00000"/>
                <w:sz w:val="22"/>
                <w:szCs w:val="22"/>
              </w:rPr>
              <w:t>X</w:t>
            </w:r>
            <w:r w:rsidRPr="00C779AE">
              <w:rPr>
                <w:sz w:val="22"/>
                <w:szCs w:val="22"/>
              </w:rPr>
              <w:t>%</w:t>
            </w:r>
          </w:p>
        </w:tc>
        <w:tc>
          <w:tcPr>
            <w:tcW w:w="1353" w:type="dxa"/>
          </w:tcPr>
          <w:p w14:paraId="27CDA59E" w14:textId="77777777" w:rsidR="00B16EBB" w:rsidRPr="004E0C74" w:rsidRDefault="00B16EBB" w:rsidP="00AC2ADE">
            <w:pPr>
              <w:spacing w:line="276" w:lineRule="auto"/>
              <w:jc w:val="center"/>
              <w:rPr>
                <w:color w:val="C00000"/>
                <w:sz w:val="22"/>
                <w:szCs w:val="22"/>
              </w:rPr>
            </w:pPr>
          </w:p>
        </w:tc>
        <w:tc>
          <w:tcPr>
            <w:tcW w:w="1222" w:type="dxa"/>
          </w:tcPr>
          <w:p w14:paraId="11C52EF0" w14:textId="77777777" w:rsidR="00B16EBB" w:rsidRPr="004E0C74" w:rsidRDefault="00B16EBB" w:rsidP="00AC2ADE">
            <w:pPr>
              <w:spacing w:line="276" w:lineRule="auto"/>
              <w:rPr>
                <w:color w:val="C00000"/>
                <w:sz w:val="22"/>
                <w:szCs w:val="22"/>
              </w:rPr>
            </w:pPr>
          </w:p>
        </w:tc>
      </w:tr>
      <w:tr w:rsidR="00C779AE" w:rsidRPr="004E0C74" w14:paraId="24772CA4" w14:textId="54A67617" w:rsidTr="00B16EBB">
        <w:tc>
          <w:tcPr>
            <w:tcW w:w="3315" w:type="dxa"/>
          </w:tcPr>
          <w:p w14:paraId="75B8AC1F" w14:textId="1A425101" w:rsidR="00C779AE" w:rsidRPr="004E0C74" w:rsidRDefault="00C779AE" w:rsidP="00200DD3">
            <w:pPr>
              <w:spacing w:line="276" w:lineRule="auto"/>
              <w:ind w:left="160"/>
              <w:rPr>
                <w:sz w:val="22"/>
                <w:szCs w:val="22"/>
              </w:rPr>
            </w:pPr>
            <w:r w:rsidRPr="004E0C74">
              <w:rPr>
                <w:sz w:val="22"/>
                <w:szCs w:val="22"/>
              </w:rPr>
              <w:t xml:space="preserve">b. </w:t>
            </w:r>
            <w:r w:rsidR="00E1097F" w:rsidRPr="004E0C74">
              <w:rPr>
                <w:sz w:val="22"/>
                <w:szCs w:val="22"/>
              </w:rPr>
              <w:t>Percent of plan participants receiving care from providers in a shared risk ACO</w:t>
            </w:r>
            <w:r w:rsidRPr="004E0C74">
              <w:rPr>
                <w:sz w:val="22"/>
                <w:szCs w:val="22"/>
              </w:rPr>
              <w:t xml:space="preserve"> </w:t>
            </w:r>
          </w:p>
        </w:tc>
        <w:tc>
          <w:tcPr>
            <w:tcW w:w="2037" w:type="dxa"/>
          </w:tcPr>
          <w:p w14:paraId="48B009DD" w14:textId="5FDC06C9" w:rsidR="00C779AE" w:rsidRPr="004E0C74" w:rsidRDefault="00C779AE" w:rsidP="00AC2ADE">
            <w:pPr>
              <w:spacing w:line="276" w:lineRule="auto"/>
              <w:rPr>
                <w:sz w:val="22"/>
                <w:szCs w:val="22"/>
              </w:rPr>
            </w:pPr>
            <w:r w:rsidRPr="004E0C74">
              <w:rPr>
                <w:color w:val="C00000"/>
                <w:sz w:val="22"/>
                <w:szCs w:val="22"/>
              </w:rPr>
              <w:t>X</w:t>
            </w:r>
            <w:r w:rsidRPr="004E0C74">
              <w:rPr>
                <w:sz w:val="22"/>
                <w:szCs w:val="22"/>
              </w:rPr>
              <w:t>% of Medical ASO Fees at Risk</w:t>
            </w:r>
          </w:p>
        </w:tc>
        <w:tc>
          <w:tcPr>
            <w:tcW w:w="1423" w:type="dxa"/>
          </w:tcPr>
          <w:p w14:paraId="69044B02" w14:textId="5F56CFAC" w:rsidR="00C779AE" w:rsidRPr="004E0C74" w:rsidRDefault="00C779AE" w:rsidP="00AC2ADE">
            <w:pPr>
              <w:spacing w:line="276" w:lineRule="auto"/>
              <w:jc w:val="center"/>
              <w:rPr>
                <w:color w:val="C00000"/>
                <w:sz w:val="22"/>
                <w:szCs w:val="22"/>
              </w:rPr>
            </w:pPr>
            <w:r w:rsidRPr="00C779AE">
              <w:rPr>
                <w:sz w:val="22"/>
                <w:szCs w:val="22"/>
              </w:rPr>
              <w:t>&gt;</w:t>
            </w:r>
            <w:r w:rsidRPr="00C779AE">
              <w:rPr>
                <w:color w:val="C00000"/>
                <w:sz w:val="22"/>
                <w:szCs w:val="22"/>
              </w:rPr>
              <w:t>X</w:t>
            </w:r>
            <w:r w:rsidRPr="00C779AE">
              <w:rPr>
                <w:sz w:val="22"/>
                <w:szCs w:val="22"/>
              </w:rPr>
              <w:t>%</w:t>
            </w:r>
          </w:p>
        </w:tc>
        <w:tc>
          <w:tcPr>
            <w:tcW w:w="1353" w:type="dxa"/>
          </w:tcPr>
          <w:p w14:paraId="0F22EB10" w14:textId="77777777" w:rsidR="00C779AE" w:rsidRPr="004E0C74" w:rsidRDefault="00C779AE" w:rsidP="00AC2ADE">
            <w:pPr>
              <w:spacing w:line="276" w:lineRule="auto"/>
              <w:jc w:val="center"/>
              <w:rPr>
                <w:color w:val="C00000"/>
                <w:sz w:val="22"/>
                <w:szCs w:val="22"/>
              </w:rPr>
            </w:pPr>
          </w:p>
        </w:tc>
        <w:tc>
          <w:tcPr>
            <w:tcW w:w="1222" w:type="dxa"/>
          </w:tcPr>
          <w:p w14:paraId="110D4672" w14:textId="77777777" w:rsidR="00C779AE" w:rsidRPr="004E0C74" w:rsidRDefault="00C779AE" w:rsidP="00AC2ADE">
            <w:pPr>
              <w:spacing w:line="276" w:lineRule="auto"/>
              <w:rPr>
                <w:color w:val="C00000"/>
                <w:sz w:val="22"/>
                <w:szCs w:val="22"/>
              </w:rPr>
            </w:pPr>
          </w:p>
        </w:tc>
      </w:tr>
      <w:tr w:rsidR="00C779AE" w:rsidRPr="004E0C74" w14:paraId="400D809E" w14:textId="45544114" w:rsidTr="00B16EBB">
        <w:tc>
          <w:tcPr>
            <w:tcW w:w="3315" w:type="dxa"/>
          </w:tcPr>
          <w:p w14:paraId="0AF862C1" w14:textId="7D2A5645" w:rsidR="00C779AE" w:rsidRPr="004E0C74" w:rsidRDefault="00C779AE" w:rsidP="00200DD3">
            <w:pPr>
              <w:spacing w:line="276" w:lineRule="auto"/>
              <w:ind w:left="160"/>
              <w:rPr>
                <w:sz w:val="22"/>
                <w:szCs w:val="22"/>
              </w:rPr>
            </w:pPr>
            <w:r w:rsidRPr="004E0C74">
              <w:rPr>
                <w:sz w:val="22"/>
                <w:szCs w:val="22"/>
              </w:rPr>
              <w:t xml:space="preserve">c.  </w:t>
            </w:r>
            <w:r w:rsidR="00E1097F" w:rsidRPr="004E0C74">
              <w:rPr>
                <w:sz w:val="22"/>
                <w:szCs w:val="22"/>
              </w:rPr>
              <w:t>Percent increase of plan participants in a shared risk ACO</w:t>
            </w:r>
            <w:r w:rsidR="00E1097F" w:rsidRPr="004E0C74" w:rsidDel="00E1097F">
              <w:rPr>
                <w:sz w:val="22"/>
                <w:szCs w:val="22"/>
              </w:rPr>
              <w:t xml:space="preserve"> </w:t>
            </w:r>
          </w:p>
        </w:tc>
        <w:tc>
          <w:tcPr>
            <w:tcW w:w="2037" w:type="dxa"/>
          </w:tcPr>
          <w:p w14:paraId="75F12B0D" w14:textId="2B7077B4" w:rsidR="00C779AE" w:rsidRPr="004E0C74" w:rsidRDefault="00C779AE" w:rsidP="00AC2ADE">
            <w:pPr>
              <w:spacing w:line="276" w:lineRule="auto"/>
              <w:rPr>
                <w:sz w:val="22"/>
                <w:szCs w:val="22"/>
              </w:rPr>
            </w:pPr>
            <w:r w:rsidRPr="004E0C74">
              <w:rPr>
                <w:color w:val="C00000"/>
                <w:sz w:val="22"/>
                <w:szCs w:val="22"/>
              </w:rPr>
              <w:t>X</w:t>
            </w:r>
            <w:r w:rsidRPr="004E0C74">
              <w:rPr>
                <w:sz w:val="22"/>
                <w:szCs w:val="22"/>
              </w:rPr>
              <w:t>% of Medical ASO Fees at Risk</w:t>
            </w:r>
          </w:p>
        </w:tc>
        <w:tc>
          <w:tcPr>
            <w:tcW w:w="1423" w:type="dxa"/>
          </w:tcPr>
          <w:p w14:paraId="798FE338" w14:textId="2069D340" w:rsidR="00C779AE" w:rsidRPr="004E0C74" w:rsidRDefault="00C779AE" w:rsidP="00AC2ADE">
            <w:pPr>
              <w:spacing w:line="276" w:lineRule="auto"/>
              <w:jc w:val="center"/>
              <w:rPr>
                <w:color w:val="C00000"/>
                <w:sz w:val="22"/>
                <w:szCs w:val="22"/>
              </w:rPr>
            </w:pPr>
            <w:r w:rsidRPr="00C779AE">
              <w:rPr>
                <w:sz w:val="22"/>
                <w:szCs w:val="22"/>
              </w:rPr>
              <w:t>&gt;</w:t>
            </w:r>
            <w:r w:rsidRPr="00C779AE">
              <w:rPr>
                <w:color w:val="C00000"/>
                <w:sz w:val="22"/>
                <w:szCs w:val="22"/>
              </w:rPr>
              <w:t>X</w:t>
            </w:r>
            <w:r w:rsidRPr="00C779AE">
              <w:rPr>
                <w:sz w:val="22"/>
                <w:szCs w:val="22"/>
              </w:rPr>
              <w:t>%</w:t>
            </w:r>
          </w:p>
        </w:tc>
        <w:tc>
          <w:tcPr>
            <w:tcW w:w="1353" w:type="dxa"/>
          </w:tcPr>
          <w:p w14:paraId="2DBA6EF8" w14:textId="77777777" w:rsidR="00C779AE" w:rsidRPr="004E0C74" w:rsidRDefault="00C779AE" w:rsidP="00AC2ADE">
            <w:pPr>
              <w:spacing w:line="276" w:lineRule="auto"/>
              <w:jc w:val="center"/>
              <w:rPr>
                <w:color w:val="C00000"/>
                <w:sz w:val="22"/>
                <w:szCs w:val="22"/>
              </w:rPr>
            </w:pPr>
          </w:p>
        </w:tc>
        <w:tc>
          <w:tcPr>
            <w:tcW w:w="1222" w:type="dxa"/>
          </w:tcPr>
          <w:p w14:paraId="4C5188E9" w14:textId="77777777" w:rsidR="00C779AE" w:rsidRPr="004E0C74" w:rsidRDefault="00C779AE" w:rsidP="00AC2ADE">
            <w:pPr>
              <w:spacing w:line="276" w:lineRule="auto"/>
              <w:rPr>
                <w:color w:val="C00000"/>
                <w:sz w:val="22"/>
                <w:szCs w:val="22"/>
              </w:rPr>
            </w:pPr>
          </w:p>
        </w:tc>
      </w:tr>
      <w:tr w:rsidR="00B16EBB" w:rsidRPr="004E0C74" w14:paraId="6FB72838" w14:textId="6EFE3B04" w:rsidTr="00AC2ADE">
        <w:trPr>
          <w:trHeight w:val="179"/>
        </w:trPr>
        <w:tc>
          <w:tcPr>
            <w:tcW w:w="9350" w:type="dxa"/>
            <w:gridSpan w:val="5"/>
          </w:tcPr>
          <w:p w14:paraId="2A2B09A2" w14:textId="19DAE09F" w:rsidR="00B16EBB" w:rsidRPr="00B16EBB" w:rsidRDefault="00B16EBB" w:rsidP="00AC2ADE">
            <w:pPr>
              <w:pStyle w:val="ListParagraph"/>
              <w:numPr>
                <w:ilvl w:val="0"/>
                <w:numId w:val="18"/>
              </w:numPr>
              <w:spacing w:line="276" w:lineRule="auto"/>
              <w:rPr>
                <w:b/>
                <w:sz w:val="22"/>
                <w:szCs w:val="22"/>
              </w:rPr>
            </w:pPr>
            <w:r w:rsidRPr="00B16EBB">
              <w:rPr>
                <w:b/>
                <w:sz w:val="22"/>
                <w:szCs w:val="22"/>
              </w:rPr>
              <w:t>Patient Reported Experience of Care</w:t>
            </w:r>
          </w:p>
        </w:tc>
      </w:tr>
      <w:tr w:rsidR="00B16EBB" w:rsidRPr="004E0C74" w14:paraId="101E74B7" w14:textId="501D4505" w:rsidTr="00B16EBB">
        <w:tc>
          <w:tcPr>
            <w:tcW w:w="3315" w:type="dxa"/>
          </w:tcPr>
          <w:p w14:paraId="521C75F3" w14:textId="5C3C9D23" w:rsidR="00B16EBB" w:rsidRPr="00B16EBB" w:rsidRDefault="00B16EBB" w:rsidP="00200DD3">
            <w:pPr>
              <w:spacing w:line="276" w:lineRule="auto"/>
              <w:ind w:left="160"/>
              <w:rPr>
                <w:sz w:val="22"/>
                <w:szCs w:val="22"/>
              </w:rPr>
            </w:pPr>
            <w:r w:rsidRPr="004E0C74">
              <w:rPr>
                <w:sz w:val="22"/>
                <w:szCs w:val="22"/>
              </w:rPr>
              <w:t xml:space="preserve">a.  </w:t>
            </w:r>
            <w:r w:rsidR="006D7902" w:rsidRPr="004E0C74">
              <w:rPr>
                <w:sz w:val="22"/>
                <w:szCs w:val="22"/>
              </w:rPr>
              <w:t>Use of CAHPS ACO-9 Survey for Accountable Care Organizations</w:t>
            </w:r>
          </w:p>
        </w:tc>
        <w:tc>
          <w:tcPr>
            <w:tcW w:w="2037" w:type="dxa"/>
          </w:tcPr>
          <w:p w14:paraId="28E5BA07" w14:textId="3E992433" w:rsidR="00B16EBB" w:rsidRPr="004E0C74" w:rsidRDefault="00B16EBB" w:rsidP="00AC2ADE">
            <w:pPr>
              <w:spacing w:line="276" w:lineRule="auto"/>
              <w:rPr>
                <w:sz w:val="22"/>
                <w:szCs w:val="22"/>
              </w:rPr>
            </w:pPr>
            <w:r w:rsidRPr="004E0C74">
              <w:rPr>
                <w:color w:val="C00000"/>
                <w:sz w:val="22"/>
                <w:szCs w:val="22"/>
              </w:rPr>
              <w:t>X</w:t>
            </w:r>
            <w:r w:rsidRPr="004E0C74">
              <w:rPr>
                <w:sz w:val="22"/>
                <w:szCs w:val="22"/>
              </w:rPr>
              <w:t>% of Medical ASO Fees at Risk</w:t>
            </w:r>
          </w:p>
        </w:tc>
        <w:tc>
          <w:tcPr>
            <w:tcW w:w="1423" w:type="dxa"/>
          </w:tcPr>
          <w:p w14:paraId="5CBBAD3C" w14:textId="64B4303E" w:rsidR="00B16EBB" w:rsidRPr="004E0C74" w:rsidRDefault="00C779AE" w:rsidP="00AC2ADE">
            <w:pPr>
              <w:spacing w:line="276" w:lineRule="auto"/>
              <w:jc w:val="center"/>
              <w:rPr>
                <w:color w:val="C00000"/>
                <w:sz w:val="22"/>
                <w:szCs w:val="22"/>
              </w:rPr>
            </w:pPr>
            <w:r w:rsidRPr="00C779AE">
              <w:rPr>
                <w:sz w:val="22"/>
                <w:szCs w:val="22"/>
              </w:rPr>
              <w:t>&gt;</w:t>
            </w:r>
            <w:r w:rsidRPr="00C779AE">
              <w:rPr>
                <w:color w:val="C00000"/>
                <w:sz w:val="22"/>
                <w:szCs w:val="22"/>
              </w:rPr>
              <w:t>X</w:t>
            </w:r>
            <w:r w:rsidRPr="00C779AE">
              <w:rPr>
                <w:sz w:val="22"/>
                <w:szCs w:val="22"/>
              </w:rPr>
              <w:t>%</w:t>
            </w:r>
          </w:p>
        </w:tc>
        <w:tc>
          <w:tcPr>
            <w:tcW w:w="1353" w:type="dxa"/>
          </w:tcPr>
          <w:p w14:paraId="61E134CA" w14:textId="77777777" w:rsidR="00B16EBB" w:rsidRPr="004E0C74" w:rsidRDefault="00B16EBB" w:rsidP="00AC2ADE">
            <w:pPr>
              <w:spacing w:line="276" w:lineRule="auto"/>
              <w:jc w:val="center"/>
              <w:rPr>
                <w:color w:val="C00000"/>
                <w:sz w:val="22"/>
                <w:szCs w:val="22"/>
              </w:rPr>
            </w:pPr>
          </w:p>
        </w:tc>
        <w:tc>
          <w:tcPr>
            <w:tcW w:w="1222" w:type="dxa"/>
          </w:tcPr>
          <w:p w14:paraId="0DEDC15D" w14:textId="77777777" w:rsidR="00B16EBB" w:rsidRPr="004E0C74" w:rsidRDefault="00B16EBB" w:rsidP="00AC2ADE">
            <w:pPr>
              <w:spacing w:line="276" w:lineRule="auto"/>
              <w:rPr>
                <w:color w:val="C00000"/>
                <w:sz w:val="22"/>
                <w:szCs w:val="22"/>
              </w:rPr>
            </w:pPr>
          </w:p>
        </w:tc>
      </w:tr>
      <w:tr w:rsidR="006D7902" w:rsidRPr="004E0C74" w14:paraId="277E5C8B" w14:textId="77777777" w:rsidTr="00B16EBB">
        <w:tc>
          <w:tcPr>
            <w:tcW w:w="3315" w:type="dxa"/>
          </w:tcPr>
          <w:p w14:paraId="184FA183" w14:textId="1C651C29" w:rsidR="006D7902" w:rsidRDefault="006D7902" w:rsidP="00200DD3">
            <w:pPr>
              <w:spacing w:line="276" w:lineRule="auto"/>
              <w:ind w:left="160"/>
              <w:rPr>
                <w:sz w:val="22"/>
                <w:szCs w:val="22"/>
              </w:rPr>
            </w:pPr>
            <w:r w:rsidRPr="004E0C74">
              <w:rPr>
                <w:sz w:val="22"/>
                <w:szCs w:val="22"/>
              </w:rPr>
              <w:t>b.  Results of CAHPS ACO-9 Survey for Accountable Care Organizations</w:t>
            </w:r>
          </w:p>
        </w:tc>
        <w:tc>
          <w:tcPr>
            <w:tcW w:w="2037" w:type="dxa"/>
          </w:tcPr>
          <w:p w14:paraId="41F3D417" w14:textId="5D8CF9F9" w:rsidR="006D7902" w:rsidRPr="004E0C74" w:rsidRDefault="006D7902" w:rsidP="00AC2ADE">
            <w:pPr>
              <w:spacing w:line="276" w:lineRule="auto"/>
              <w:rPr>
                <w:color w:val="C00000"/>
                <w:sz w:val="22"/>
                <w:szCs w:val="22"/>
              </w:rPr>
            </w:pPr>
            <w:r w:rsidRPr="004E0C74">
              <w:rPr>
                <w:color w:val="C00000"/>
                <w:sz w:val="22"/>
                <w:szCs w:val="22"/>
              </w:rPr>
              <w:t>X</w:t>
            </w:r>
            <w:r w:rsidRPr="004E0C74">
              <w:rPr>
                <w:sz w:val="22"/>
                <w:szCs w:val="22"/>
              </w:rPr>
              <w:t>% of Medical ASO Fees at Risk</w:t>
            </w:r>
          </w:p>
        </w:tc>
        <w:tc>
          <w:tcPr>
            <w:tcW w:w="1423" w:type="dxa"/>
          </w:tcPr>
          <w:p w14:paraId="421C445B" w14:textId="61F18663" w:rsidR="006D7902" w:rsidRPr="00C779AE" w:rsidRDefault="006D7902" w:rsidP="00AC2ADE">
            <w:pPr>
              <w:spacing w:line="276" w:lineRule="auto"/>
              <w:jc w:val="center"/>
              <w:rPr>
                <w:sz w:val="22"/>
                <w:szCs w:val="22"/>
              </w:rPr>
            </w:pPr>
            <w:r w:rsidRPr="00C779AE">
              <w:rPr>
                <w:sz w:val="22"/>
                <w:szCs w:val="22"/>
              </w:rPr>
              <w:t>&gt;</w:t>
            </w:r>
            <w:r w:rsidRPr="00C779AE">
              <w:rPr>
                <w:color w:val="C00000"/>
                <w:sz w:val="22"/>
                <w:szCs w:val="22"/>
              </w:rPr>
              <w:t>X</w:t>
            </w:r>
            <w:r w:rsidRPr="00C779AE">
              <w:rPr>
                <w:sz w:val="22"/>
                <w:szCs w:val="22"/>
              </w:rPr>
              <w:t>%</w:t>
            </w:r>
            <w:r>
              <w:rPr>
                <w:sz w:val="22"/>
                <w:szCs w:val="22"/>
              </w:rPr>
              <w:t xml:space="preserve"> Above Average</w:t>
            </w:r>
          </w:p>
        </w:tc>
        <w:tc>
          <w:tcPr>
            <w:tcW w:w="1353" w:type="dxa"/>
          </w:tcPr>
          <w:p w14:paraId="51773445" w14:textId="77777777" w:rsidR="006D7902" w:rsidRPr="004E0C74" w:rsidRDefault="006D7902" w:rsidP="00AC2ADE">
            <w:pPr>
              <w:spacing w:line="276" w:lineRule="auto"/>
              <w:jc w:val="center"/>
              <w:rPr>
                <w:color w:val="C00000"/>
                <w:sz w:val="22"/>
                <w:szCs w:val="22"/>
              </w:rPr>
            </w:pPr>
          </w:p>
        </w:tc>
        <w:tc>
          <w:tcPr>
            <w:tcW w:w="1222" w:type="dxa"/>
          </w:tcPr>
          <w:p w14:paraId="651D1368" w14:textId="77777777" w:rsidR="006D7902" w:rsidRPr="004E0C74" w:rsidRDefault="006D7902" w:rsidP="00AC2ADE">
            <w:pPr>
              <w:spacing w:line="276" w:lineRule="auto"/>
              <w:rPr>
                <w:color w:val="C00000"/>
                <w:sz w:val="22"/>
                <w:szCs w:val="22"/>
              </w:rPr>
            </w:pPr>
          </w:p>
        </w:tc>
      </w:tr>
      <w:tr w:rsidR="00B16EBB" w:rsidRPr="004E0C74" w14:paraId="5513E9F2" w14:textId="38EFBE52" w:rsidTr="00A8531B">
        <w:tc>
          <w:tcPr>
            <w:tcW w:w="9350" w:type="dxa"/>
            <w:gridSpan w:val="5"/>
          </w:tcPr>
          <w:p w14:paraId="606522A8" w14:textId="288ECD1E" w:rsidR="00B16EBB" w:rsidRPr="00B16EBB" w:rsidRDefault="00B16EBB" w:rsidP="00AC2ADE">
            <w:pPr>
              <w:pStyle w:val="ListParagraph"/>
              <w:numPr>
                <w:ilvl w:val="0"/>
                <w:numId w:val="18"/>
              </w:numPr>
              <w:spacing w:line="276" w:lineRule="auto"/>
              <w:rPr>
                <w:b/>
                <w:sz w:val="22"/>
                <w:szCs w:val="22"/>
              </w:rPr>
            </w:pPr>
            <w:r w:rsidRPr="00B16EBB">
              <w:rPr>
                <w:b/>
                <w:sz w:val="22"/>
                <w:szCs w:val="22"/>
              </w:rPr>
              <w:t>ACO Reporting</w:t>
            </w:r>
          </w:p>
        </w:tc>
      </w:tr>
      <w:tr w:rsidR="00B16EBB" w:rsidRPr="004E0C74" w14:paraId="23FCCB95" w14:textId="22EF8331" w:rsidTr="00B16EBB">
        <w:tc>
          <w:tcPr>
            <w:tcW w:w="3315" w:type="dxa"/>
          </w:tcPr>
          <w:p w14:paraId="7B703F9B" w14:textId="6DF61F91" w:rsidR="00B16EBB" w:rsidRPr="004E0C74" w:rsidRDefault="00B16EBB" w:rsidP="00200DD3">
            <w:pPr>
              <w:spacing w:line="276" w:lineRule="auto"/>
              <w:ind w:left="160"/>
              <w:rPr>
                <w:sz w:val="22"/>
                <w:szCs w:val="22"/>
              </w:rPr>
            </w:pPr>
            <w:r w:rsidRPr="004E0C74">
              <w:rPr>
                <w:sz w:val="22"/>
                <w:szCs w:val="22"/>
              </w:rPr>
              <w:t>a.  Completion of</w:t>
            </w:r>
            <w:r w:rsidR="00EE5FEF">
              <w:rPr>
                <w:sz w:val="22"/>
                <w:szCs w:val="22"/>
              </w:rPr>
              <w:t xml:space="preserve"> the</w:t>
            </w:r>
            <w:r w:rsidRPr="004E0C74">
              <w:rPr>
                <w:sz w:val="22"/>
                <w:szCs w:val="22"/>
              </w:rPr>
              <w:t xml:space="preserve"> </w:t>
            </w:r>
            <w:r w:rsidR="00200DD3">
              <w:rPr>
                <w:color w:val="0070C0"/>
                <w:sz w:val="22"/>
                <w:szCs w:val="22"/>
                <w:u w:val="single"/>
              </w:rPr>
              <w:t>Standard Plan ACO</w:t>
            </w:r>
            <w:r w:rsidRPr="004E0C74">
              <w:rPr>
                <w:color w:val="0070C0"/>
                <w:sz w:val="22"/>
                <w:szCs w:val="22"/>
                <w:u w:val="single"/>
              </w:rPr>
              <w:t xml:space="preserve"> Report</w:t>
            </w:r>
            <w:r w:rsidRPr="004E0C74">
              <w:rPr>
                <w:sz w:val="22"/>
                <w:szCs w:val="22"/>
              </w:rPr>
              <w:t xml:space="preserve"> </w:t>
            </w:r>
          </w:p>
        </w:tc>
        <w:tc>
          <w:tcPr>
            <w:tcW w:w="2037" w:type="dxa"/>
          </w:tcPr>
          <w:p w14:paraId="1C45272E" w14:textId="3D0C0EBE" w:rsidR="00B16EBB" w:rsidRPr="004E0C74" w:rsidRDefault="00B16EBB" w:rsidP="00AC2ADE">
            <w:pPr>
              <w:spacing w:line="276" w:lineRule="auto"/>
              <w:rPr>
                <w:sz w:val="22"/>
                <w:szCs w:val="22"/>
              </w:rPr>
            </w:pPr>
            <w:r w:rsidRPr="004E0C74">
              <w:rPr>
                <w:color w:val="C00000"/>
                <w:sz w:val="22"/>
                <w:szCs w:val="22"/>
              </w:rPr>
              <w:t>X</w:t>
            </w:r>
            <w:r w:rsidRPr="004E0C74">
              <w:rPr>
                <w:sz w:val="22"/>
                <w:szCs w:val="22"/>
              </w:rPr>
              <w:t>% of Medical ASO Fees at Risk</w:t>
            </w:r>
          </w:p>
        </w:tc>
        <w:tc>
          <w:tcPr>
            <w:tcW w:w="1423" w:type="dxa"/>
          </w:tcPr>
          <w:p w14:paraId="0E33C432" w14:textId="3A19D9B6" w:rsidR="00B16EBB" w:rsidRPr="004E0C74" w:rsidRDefault="00C779AE" w:rsidP="00AC2ADE">
            <w:pPr>
              <w:spacing w:line="276" w:lineRule="auto"/>
              <w:jc w:val="center"/>
              <w:rPr>
                <w:color w:val="C00000"/>
                <w:sz w:val="22"/>
                <w:szCs w:val="22"/>
              </w:rPr>
            </w:pPr>
            <w:r w:rsidRPr="00C779AE">
              <w:rPr>
                <w:sz w:val="22"/>
                <w:szCs w:val="22"/>
              </w:rPr>
              <w:t>&lt;60 days</w:t>
            </w:r>
          </w:p>
        </w:tc>
        <w:tc>
          <w:tcPr>
            <w:tcW w:w="1353" w:type="dxa"/>
          </w:tcPr>
          <w:p w14:paraId="1546C662" w14:textId="77777777" w:rsidR="00B16EBB" w:rsidRPr="004E0C74" w:rsidRDefault="00B16EBB" w:rsidP="00AC2ADE">
            <w:pPr>
              <w:spacing w:line="276" w:lineRule="auto"/>
              <w:jc w:val="center"/>
              <w:rPr>
                <w:color w:val="C00000"/>
                <w:sz w:val="22"/>
                <w:szCs w:val="22"/>
              </w:rPr>
            </w:pPr>
          </w:p>
        </w:tc>
        <w:tc>
          <w:tcPr>
            <w:tcW w:w="1222" w:type="dxa"/>
          </w:tcPr>
          <w:p w14:paraId="5988A173" w14:textId="77777777" w:rsidR="00B16EBB" w:rsidRPr="004E0C74" w:rsidRDefault="00B16EBB" w:rsidP="00AC2ADE">
            <w:pPr>
              <w:spacing w:line="276" w:lineRule="auto"/>
              <w:rPr>
                <w:color w:val="C00000"/>
                <w:sz w:val="22"/>
                <w:szCs w:val="22"/>
              </w:rPr>
            </w:pPr>
          </w:p>
        </w:tc>
      </w:tr>
      <w:tr w:rsidR="00B16EBB" w:rsidRPr="004E0C74" w14:paraId="128FA188" w14:textId="69A6B0E3" w:rsidTr="00B16EBB">
        <w:tc>
          <w:tcPr>
            <w:tcW w:w="3315" w:type="dxa"/>
          </w:tcPr>
          <w:p w14:paraId="18963238" w14:textId="132B46A2" w:rsidR="00B16EBB" w:rsidRPr="004E0C74" w:rsidRDefault="00B16EBB" w:rsidP="00AC2ADE">
            <w:pPr>
              <w:spacing w:line="276" w:lineRule="auto"/>
              <w:jc w:val="right"/>
              <w:rPr>
                <w:b/>
                <w:sz w:val="22"/>
                <w:szCs w:val="22"/>
              </w:rPr>
            </w:pPr>
            <w:r w:rsidRPr="004E0C74">
              <w:rPr>
                <w:b/>
                <w:sz w:val="22"/>
                <w:szCs w:val="22"/>
              </w:rPr>
              <w:t xml:space="preserve">Total </w:t>
            </w:r>
          </w:p>
        </w:tc>
        <w:tc>
          <w:tcPr>
            <w:tcW w:w="2037" w:type="dxa"/>
          </w:tcPr>
          <w:p w14:paraId="551144F7" w14:textId="4159D636" w:rsidR="00B16EBB" w:rsidRPr="004E0C74" w:rsidRDefault="00B16EBB" w:rsidP="00AC2ADE">
            <w:pPr>
              <w:spacing w:line="276" w:lineRule="auto"/>
              <w:jc w:val="center"/>
              <w:rPr>
                <w:b/>
                <w:color w:val="C00000"/>
                <w:sz w:val="22"/>
                <w:szCs w:val="22"/>
              </w:rPr>
            </w:pPr>
            <w:r w:rsidRPr="004E0C74">
              <w:rPr>
                <w:b/>
                <w:color w:val="C00000"/>
                <w:sz w:val="22"/>
                <w:szCs w:val="22"/>
              </w:rPr>
              <w:t>X%</w:t>
            </w:r>
          </w:p>
        </w:tc>
        <w:tc>
          <w:tcPr>
            <w:tcW w:w="1423" w:type="dxa"/>
          </w:tcPr>
          <w:p w14:paraId="0E8C8E8D" w14:textId="6EA6AF5A" w:rsidR="00B16EBB" w:rsidRPr="00B16EBB" w:rsidRDefault="00B16EBB" w:rsidP="00AC2ADE">
            <w:pPr>
              <w:spacing w:line="276" w:lineRule="auto"/>
              <w:jc w:val="center"/>
              <w:rPr>
                <w:b/>
                <w:sz w:val="22"/>
                <w:szCs w:val="22"/>
              </w:rPr>
            </w:pPr>
            <w:r w:rsidRPr="00B16EBB">
              <w:rPr>
                <w:b/>
                <w:sz w:val="22"/>
                <w:szCs w:val="22"/>
              </w:rPr>
              <w:t>N/A</w:t>
            </w:r>
          </w:p>
        </w:tc>
        <w:tc>
          <w:tcPr>
            <w:tcW w:w="1353" w:type="dxa"/>
          </w:tcPr>
          <w:p w14:paraId="327757B0" w14:textId="7CA140D2" w:rsidR="00B16EBB" w:rsidRPr="00B16EBB" w:rsidRDefault="00B16EBB" w:rsidP="00AC2ADE">
            <w:pPr>
              <w:spacing w:line="276" w:lineRule="auto"/>
              <w:jc w:val="center"/>
              <w:rPr>
                <w:b/>
                <w:sz w:val="22"/>
                <w:szCs w:val="22"/>
              </w:rPr>
            </w:pPr>
            <w:r w:rsidRPr="00B16EBB">
              <w:rPr>
                <w:b/>
                <w:sz w:val="22"/>
                <w:szCs w:val="22"/>
              </w:rPr>
              <w:t>N/A</w:t>
            </w:r>
          </w:p>
        </w:tc>
        <w:tc>
          <w:tcPr>
            <w:tcW w:w="1222" w:type="dxa"/>
          </w:tcPr>
          <w:p w14:paraId="3ADCD4D3" w14:textId="17AB14AF" w:rsidR="00B16EBB" w:rsidRPr="004E0C74" w:rsidRDefault="00B16EBB" w:rsidP="00AC2ADE">
            <w:pPr>
              <w:spacing w:line="276" w:lineRule="auto"/>
              <w:jc w:val="center"/>
              <w:rPr>
                <w:b/>
                <w:color w:val="C00000"/>
                <w:sz w:val="22"/>
                <w:szCs w:val="22"/>
              </w:rPr>
            </w:pPr>
            <w:r>
              <w:rPr>
                <w:b/>
                <w:color w:val="C00000"/>
                <w:sz w:val="22"/>
                <w:szCs w:val="22"/>
              </w:rPr>
              <w:t>$X</w:t>
            </w:r>
          </w:p>
        </w:tc>
      </w:tr>
    </w:tbl>
    <w:p w14:paraId="20C5A448" w14:textId="5C542E61" w:rsidR="006522B1" w:rsidRDefault="006522B1" w:rsidP="006522B1">
      <w:pPr>
        <w:spacing w:after="200" w:line="276" w:lineRule="auto"/>
        <w:ind w:firstLine="360"/>
        <w:rPr>
          <w:b/>
          <w:sz w:val="22"/>
          <w:szCs w:val="22"/>
        </w:rPr>
      </w:pPr>
    </w:p>
    <w:p w14:paraId="4F3416A9" w14:textId="79421F4A" w:rsidR="0079366C" w:rsidRDefault="0079366C">
      <w:pPr>
        <w:rPr>
          <w:b/>
          <w:sz w:val="22"/>
          <w:szCs w:val="22"/>
        </w:rPr>
      </w:pPr>
      <w:r>
        <w:rPr>
          <w:b/>
          <w:sz w:val="22"/>
          <w:szCs w:val="22"/>
        </w:rPr>
        <w:br w:type="page"/>
      </w:r>
    </w:p>
    <w:p w14:paraId="77D53314" w14:textId="79AF95C3" w:rsidR="00C45142" w:rsidRPr="004E0C74" w:rsidRDefault="00C45142" w:rsidP="004E0C74">
      <w:pPr>
        <w:pStyle w:val="ListParagraph"/>
        <w:numPr>
          <w:ilvl w:val="0"/>
          <w:numId w:val="3"/>
        </w:numPr>
        <w:spacing w:after="200" w:line="276" w:lineRule="auto"/>
        <w:rPr>
          <w:b/>
          <w:sz w:val="22"/>
          <w:szCs w:val="22"/>
        </w:rPr>
      </w:pPr>
      <w:r w:rsidRPr="004E0C74">
        <w:rPr>
          <w:b/>
          <w:sz w:val="22"/>
          <w:szCs w:val="22"/>
        </w:rPr>
        <w:lastRenderedPageBreak/>
        <w:t>Shared Risk</w:t>
      </w:r>
      <w:r w:rsidR="00AC2ADE">
        <w:rPr>
          <w:rStyle w:val="FootnoteReference"/>
          <w:b/>
          <w:sz w:val="22"/>
          <w:szCs w:val="22"/>
        </w:rPr>
        <w:footnoteReference w:id="2"/>
      </w:r>
      <w:r w:rsidRPr="004E0C74">
        <w:rPr>
          <w:b/>
          <w:sz w:val="22"/>
          <w:szCs w:val="22"/>
        </w:rPr>
        <w:t xml:space="preserve"> ACO Penetration </w:t>
      </w:r>
    </w:p>
    <w:p w14:paraId="4927B43C" w14:textId="5BF38ADE" w:rsidR="00C45142" w:rsidRDefault="00C45142" w:rsidP="00C45142">
      <w:pPr>
        <w:spacing w:after="200" w:line="276" w:lineRule="auto"/>
        <w:ind w:left="360"/>
        <w:rPr>
          <w:sz w:val="22"/>
          <w:szCs w:val="22"/>
        </w:rPr>
      </w:pPr>
      <w:r w:rsidRPr="004E0C74">
        <w:rPr>
          <w:sz w:val="22"/>
          <w:szCs w:val="22"/>
        </w:rPr>
        <w:t xml:space="preserve">Rationale:  Administrators </w:t>
      </w:r>
      <w:r w:rsidR="00DC2CAB" w:rsidRPr="004E0C74">
        <w:rPr>
          <w:sz w:val="22"/>
          <w:szCs w:val="22"/>
        </w:rPr>
        <w:t xml:space="preserve">often establish shared savings arrangements with ACO </w:t>
      </w:r>
      <w:r w:rsidR="008237B8" w:rsidRPr="004E0C74">
        <w:rPr>
          <w:sz w:val="22"/>
          <w:szCs w:val="22"/>
        </w:rPr>
        <w:t xml:space="preserve">providers </w:t>
      </w:r>
      <w:r w:rsidR="00DC2CAB" w:rsidRPr="004E0C74">
        <w:rPr>
          <w:sz w:val="22"/>
          <w:szCs w:val="22"/>
        </w:rPr>
        <w:t>as an initial stepping stone toward greater financial accountability for patient care.</w:t>
      </w:r>
      <w:r w:rsidR="003D652F" w:rsidRPr="004E0C74">
        <w:rPr>
          <w:sz w:val="22"/>
          <w:szCs w:val="22"/>
        </w:rPr>
        <w:t xml:space="preserve"> As Administrators partner with ACOs </w:t>
      </w:r>
      <w:r w:rsidRPr="004E0C74">
        <w:rPr>
          <w:sz w:val="22"/>
          <w:szCs w:val="22"/>
        </w:rPr>
        <w:t xml:space="preserve">to manage cost and improve quality, employer-purchasers should </w:t>
      </w:r>
      <w:r w:rsidR="00DC2CAB" w:rsidRPr="004E0C74">
        <w:rPr>
          <w:sz w:val="22"/>
          <w:szCs w:val="22"/>
        </w:rPr>
        <w:t xml:space="preserve">encourage </w:t>
      </w:r>
      <w:r w:rsidRPr="004E0C74">
        <w:rPr>
          <w:sz w:val="22"/>
          <w:szCs w:val="22"/>
        </w:rPr>
        <w:t>the</w:t>
      </w:r>
      <w:r w:rsidR="00E31AE1" w:rsidRPr="004E0C74">
        <w:rPr>
          <w:sz w:val="22"/>
          <w:szCs w:val="22"/>
        </w:rPr>
        <w:t>ir</w:t>
      </w:r>
      <w:r w:rsidRPr="004E0C74">
        <w:rPr>
          <w:sz w:val="22"/>
          <w:szCs w:val="22"/>
        </w:rPr>
        <w:t xml:space="preserve"> Administrator</w:t>
      </w:r>
      <w:r w:rsidR="00E31AE1" w:rsidRPr="004E0C74">
        <w:rPr>
          <w:sz w:val="22"/>
          <w:szCs w:val="22"/>
        </w:rPr>
        <w:t>(</w:t>
      </w:r>
      <w:r w:rsidRPr="004E0C74">
        <w:rPr>
          <w:sz w:val="22"/>
          <w:szCs w:val="22"/>
        </w:rPr>
        <w:t>s</w:t>
      </w:r>
      <w:r w:rsidR="00E31AE1" w:rsidRPr="004E0C74">
        <w:rPr>
          <w:sz w:val="22"/>
          <w:szCs w:val="22"/>
        </w:rPr>
        <w:t>)</w:t>
      </w:r>
      <w:r w:rsidR="00025A24" w:rsidRPr="004E0C74">
        <w:rPr>
          <w:sz w:val="22"/>
          <w:szCs w:val="22"/>
        </w:rPr>
        <w:t>, as appropriate,</w:t>
      </w:r>
      <w:r w:rsidRPr="004E0C74">
        <w:rPr>
          <w:sz w:val="22"/>
          <w:szCs w:val="22"/>
        </w:rPr>
        <w:t xml:space="preserve"> to </w:t>
      </w:r>
      <w:r w:rsidR="00E31AE1" w:rsidRPr="004E0C74">
        <w:rPr>
          <w:sz w:val="22"/>
          <w:szCs w:val="22"/>
        </w:rPr>
        <w:t>evolve their ACO contracts</w:t>
      </w:r>
      <w:r w:rsidRPr="004E0C74">
        <w:rPr>
          <w:sz w:val="22"/>
          <w:szCs w:val="22"/>
        </w:rPr>
        <w:t xml:space="preserve"> into shared risk arrangements</w:t>
      </w:r>
      <w:r w:rsidR="00E31AE1" w:rsidRPr="004E0C74">
        <w:rPr>
          <w:sz w:val="22"/>
          <w:szCs w:val="22"/>
        </w:rPr>
        <w:t>, where the provider is at financial risk for manag</w:t>
      </w:r>
      <w:r w:rsidR="002079B7" w:rsidRPr="004E0C74">
        <w:rPr>
          <w:sz w:val="22"/>
          <w:szCs w:val="22"/>
        </w:rPr>
        <w:t>ing</w:t>
      </w:r>
      <w:r w:rsidR="00E31AE1" w:rsidRPr="004E0C74">
        <w:rPr>
          <w:sz w:val="22"/>
          <w:szCs w:val="22"/>
        </w:rPr>
        <w:t xml:space="preserve"> cost and quality.</w:t>
      </w:r>
    </w:p>
    <w:p w14:paraId="44A19B2C" w14:textId="77777777" w:rsidR="0097227D" w:rsidRPr="004E0C74" w:rsidRDefault="0097227D" w:rsidP="0097227D">
      <w:pPr>
        <w:pStyle w:val="ListParagraph"/>
        <w:numPr>
          <w:ilvl w:val="0"/>
          <w:numId w:val="12"/>
        </w:numPr>
        <w:spacing w:after="200" w:line="276" w:lineRule="auto"/>
        <w:rPr>
          <w:b/>
          <w:sz w:val="22"/>
          <w:szCs w:val="22"/>
        </w:rPr>
      </w:pPr>
      <w:r w:rsidRPr="004E0C74">
        <w:rPr>
          <w:b/>
          <w:sz w:val="22"/>
          <w:szCs w:val="22"/>
        </w:rPr>
        <w:t>Percent of contracted ACOs in shared risk arrangements</w:t>
      </w:r>
    </w:p>
    <w:tbl>
      <w:tblPr>
        <w:tblStyle w:val="TableGrid"/>
        <w:tblW w:w="5000" w:type="pct"/>
        <w:tblInd w:w="360" w:type="dxa"/>
        <w:tblLook w:val="04A0" w:firstRow="1" w:lastRow="0" w:firstColumn="1" w:lastColumn="0" w:noHBand="0" w:noVBand="1"/>
      </w:tblPr>
      <w:tblGrid>
        <w:gridCol w:w="2323"/>
        <w:gridCol w:w="2558"/>
        <w:gridCol w:w="2234"/>
        <w:gridCol w:w="2235"/>
      </w:tblGrid>
      <w:tr w:rsidR="0097227D" w:rsidRPr="004E0C74" w14:paraId="25D3FD70" w14:textId="77777777" w:rsidTr="00127220">
        <w:tc>
          <w:tcPr>
            <w:tcW w:w="2323" w:type="dxa"/>
            <w:shd w:val="clear" w:color="auto" w:fill="D9D9D9" w:themeFill="background1" w:themeFillShade="D9"/>
          </w:tcPr>
          <w:p w14:paraId="06CAC120" w14:textId="77777777" w:rsidR="0097227D" w:rsidRPr="004E0C74" w:rsidRDefault="0097227D" w:rsidP="00127220">
            <w:pPr>
              <w:spacing w:after="200" w:line="276" w:lineRule="auto"/>
              <w:jc w:val="center"/>
              <w:rPr>
                <w:b/>
                <w:sz w:val="22"/>
                <w:szCs w:val="22"/>
              </w:rPr>
            </w:pPr>
            <w:r w:rsidRPr="004E0C74">
              <w:rPr>
                <w:b/>
                <w:sz w:val="22"/>
                <w:szCs w:val="22"/>
              </w:rPr>
              <w:t>PG Objective</w:t>
            </w:r>
          </w:p>
        </w:tc>
        <w:tc>
          <w:tcPr>
            <w:tcW w:w="2558" w:type="dxa"/>
            <w:shd w:val="clear" w:color="auto" w:fill="D9D9D9" w:themeFill="background1" w:themeFillShade="D9"/>
          </w:tcPr>
          <w:p w14:paraId="2B5FAFCF" w14:textId="77777777" w:rsidR="0097227D" w:rsidRPr="004E0C74" w:rsidRDefault="0097227D" w:rsidP="00127220">
            <w:pPr>
              <w:spacing w:after="200" w:line="276" w:lineRule="auto"/>
              <w:jc w:val="center"/>
              <w:rPr>
                <w:b/>
                <w:sz w:val="22"/>
                <w:szCs w:val="22"/>
              </w:rPr>
            </w:pPr>
            <w:r w:rsidRPr="004E0C74">
              <w:rPr>
                <w:b/>
                <w:sz w:val="22"/>
                <w:szCs w:val="22"/>
              </w:rPr>
              <w:t>PG Measurement</w:t>
            </w:r>
          </w:p>
        </w:tc>
        <w:tc>
          <w:tcPr>
            <w:tcW w:w="2234" w:type="dxa"/>
            <w:shd w:val="clear" w:color="auto" w:fill="D9D9D9" w:themeFill="background1" w:themeFillShade="D9"/>
          </w:tcPr>
          <w:p w14:paraId="10E8611C" w14:textId="77777777" w:rsidR="0097227D" w:rsidRPr="004E0C74" w:rsidRDefault="0097227D" w:rsidP="00127220">
            <w:pPr>
              <w:spacing w:after="200" w:line="276" w:lineRule="auto"/>
              <w:jc w:val="center"/>
              <w:rPr>
                <w:b/>
                <w:sz w:val="22"/>
                <w:szCs w:val="22"/>
              </w:rPr>
            </w:pPr>
            <w:r w:rsidRPr="004E0C74">
              <w:rPr>
                <w:b/>
                <w:sz w:val="22"/>
                <w:szCs w:val="22"/>
              </w:rPr>
              <w:t>Measurement and Reporting Period</w:t>
            </w:r>
          </w:p>
        </w:tc>
        <w:tc>
          <w:tcPr>
            <w:tcW w:w="2235" w:type="dxa"/>
            <w:shd w:val="clear" w:color="auto" w:fill="D9D9D9" w:themeFill="background1" w:themeFillShade="D9"/>
          </w:tcPr>
          <w:p w14:paraId="3DE21888" w14:textId="77777777" w:rsidR="0097227D" w:rsidRPr="004E0C74" w:rsidRDefault="0097227D" w:rsidP="00127220">
            <w:pPr>
              <w:spacing w:after="200" w:line="276" w:lineRule="auto"/>
              <w:jc w:val="center"/>
              <w:rPr>
                <w:b/>
                <w:sz w:val="22"/>
                <w:szCs w:val="22"/>
              </w:rPr>
            </w:pPr>
            <w:r w:rsidRPr="004E0C74">
              <w:rPr>
                <w:b/>
                <w:sz w:val="22"/>
                <w:szCs w:val="22"/>
              </w:rPr>
              <w:t>% of Fees At Risk</w:t>
            </w:r>
          </w:p>
        </w:tc>
      </w:tr>
      <w:tr w:rsidR="0097227D" w:rsidRPr="004E0C74" w14:paraId="5A290562" w14:textId="77777777" w:rsidTr="00127220">
        <w:tc>
          <w:tcPr>
            <w:tcW w:w="2323" w:type="dxa"/>
          </w:tcPr>
          <w:p w14:paraId="50AE77F8" w14:textId="77777777" w:rsidR="0097227D" w:rsidRPr="004E0C74" w:rsidRDefault="0097227D" w:rsidP="00127220">
            <w:pPr>
              <w:spacing w:after="200" w:line="276" w:lineRule="auto"/>
              <w:rPr>
                <w:sz w:val="22"/>
                <w:szCs w:val="22"/>
              </w:rPr>
            </w:pPr>
            <w:r w:rsidRPr="004E0C74">
              <w:rPr>
                <w:color w:val="C00000"/>
                <w:sz w:val="22"/>
                <w:szCs w:val="22"/>
              </w:rPr>
              <w:t>X</w:t>
            </w:r>
            <w:r w:rsidRPr="004E0C74">
              <w:rPr>
                <w:sz w:val="22"/>
                <w:szCs w:val="22"/>
              </w:rPr>
              <w:t>% of contracted ACOs with a shared risk arrangement.</w:t>
            </w:r>
          </w:p>
          <w:p w14:paraId="503D4D78" w14:textId="77777777" w:rsidR="0097227D" w:rsidRPr="004E0C74" w:rsidRDefault="0097227D" w:rsidP="00127220">
            <w:pPr>
              <w:spacing w:after="200" w:line="276" w:lineRule="auto"/>
              <w:rPr>
                <w:sz w:val="22"/>
                <w:szCs w:val="22"/>
              </w:rPr>
            </w:pPr>
          </w:p>
        </w:tc>
        <w:tc>
          <w:tcPr>
            <w:tcW w:w="2558" w:type="dxa"/>
          </w:tcPr>
          <w:p w14:paraId="5AD1CF68" w14:textId="77777777" w:rsidR="0097227D" w:rsidRPr="004E0C74" w:rsidRDefault="0097227D" w:rsidP="00127220">
            <w:pPr>
              <w:spacing w:after="200" w:line="276" w:lineRule="auto"/>
              <w:rPr>
                <w:sz w:val="22"/>
                <w:szCs w:val="22"/>
              </w:rPr>
            </w:pPr>
            <w:r w:rsidRPr="004E0C74">
              <w:rPr>
                <w:sz w:val="22"/>
                <w:szCs w:val="22"/>
              </w:rPr>
              <w:t>Numerator: Total number of contracted ACOs with a shared risk payment arrangement.</w:t>
            </w:r>
          </w:p>
          <w:p w14:paraId="3E0EA851" w14:textId="77777777" w:rsidR="0097227D" w:rsidRPr="004E0C74" w:rsidRDefault="0097227D" w:rsidP="00127220">
            <w:pPr>
              <w:spacing w:after="200" w:line="276" w:lineRule="auto"/>
              <w:rPr>
                <w:sz w:val="22"/>
                <w:szCs w:val="22"/>
              </w:rPr>
            </w:pPr>
            <w:r w:rsidRPr="004E0C74">
              <w:rPr>
                <w:sz w:val="22"/>
                <w:szCs w:val="22"/>
              </w:rPr>
              <w:t>Denominator:  Total number of contracted ACOs.</w:t>
            </w:r>
          </w:p>
        </w:tc>
        <w:tc>
          <w:tcPr>
            <w:tcW w:w="2234" w:type="dxa"/>
          </w:tcPr>
          <w:p w14:paraId="535BF59B" w14:textId="77777777" w:rsidR="0097227D" w:rsidRPr="004E0C74" w:rsidRDefault="0097227D" w:rsidP="00127220">
            <w:pPr>
              <w:spacing w:after="200" w:line="276" w:lineRule="auto"/>
              <w:rPr>
                <w:sz w:val="22"/>
                <w:szCs w:val="22"/>
              </w:rPr>
            </w:pPr>
            <w:r w:rsidRPr="004E0C74">
              <w:rPr>
                <w:sz w:val="22"/>
                <w:szCs w:val="22"/>
              </w:rPr>
              <w:t>Results reported on an annual basis.</w:t>
            </w:r>
          </w:p>
          <w:p w14:paraId="09EA0E68" w14:textId="77777777" w:rsidR="0097227D" w:rsidRPr="004E0C74" w:rsidRDefault="0097227D" w:rsidP="00127220">
            <w:pPr>
              <w:spacing w:after="200" w:line="276" w:lineRule="auto"/>
              <w:rPr>
                <w:sz w:val="22"/>
                <w:szCs w:val="22"/>
              </w:rPr>
            </w:pPr>
            <w:r w:rsidRPr="004E0C74">
              <w:rPr>
                <w:sz w:val="22"/>
                <w:szCs w:val="22"/>
              </w:rPr>
              <w:t xml:space="preserve">Any penalties owed to </w:t>
            </w:r>
            <w:r w:rsidRPr="004E0C74">
              <w:rPr>
                <w:color w:val="C00000"/>
                <w:sz w:val="22"/>
                <w:szCs w:val="22"/>
              </w:rPr>
              <w:t>[Company]</w:t>
            </w:r>
            <w:r w:rsidRPr="004E0C74">
              <w:rPr>
                <w:color w:val="ED7D31" w:themeColor="accent2"/>
                <w:sz w:val="22"/>
                <w:szCs w:val="22"/>
              </w:rPr>
              <w:t xml:space="preserve"> </w:t>
            </w:r>
            <w:r w:rsidRPr="004E0C74">
              <w:rPr>
                <w:sz w:val="22"/>
                <w:szCs w:val="22"/>
              </w:rPr>
              <w:t xml:space="preserve">shall be paid out on an annual basis. </w:t>
            </w:r>
          </w:p>
          <w:p w14:paraId="7337701D" w14:textId="77777777" w:rsidR="0097227D" w:rsidRPr="004E0C74" w:rsidRDefault="0097227D" w:rsidP="00127220">
            <w:pPr>
              <w:spacing w:after="200" w:line="276" w:lineRule="auto"/>
              <w:rPr>
                <w:sz w:val="22"/>
                <w:szCs w:val="22"/>
              </w:rPr>
            </w:pPr>
            <w:r w:rsidRPr="004E0C74">
              <w:rPr>
                <w:sz w:val="22"/>
                <w:szCs w:val="22"/>
              </w:rPr>
              <w:t xml:space="preserve">Administrator shall report results within 120 calendar days after the Plan Year.  </w:t>
            </w:r>
          </w:p>
        </w:tc>
        <w:tc>
          <w:tcPr>
            <w:tcW w:w="2235" w:type="dxa"/>
          </w:tcPr>
          <w:p w14:paraId="30D4FB8D" w14:textId="77777777" w:rsidR="0097227D" w:rsidRPr="004E0C74" w:rsidRDefault="0097227D" w:rsidP="00127220">
            <w:pPr>
              <w:spacing w:after="200" w:line="276" w:lineRule="auto"/>
              <w:rPr>
                <w:sz w:val="22"/>
                <w:szCs w:val="22"/>
              </w:rPr>
            </w:pPr>
            <w:r w:rsidRPr="004E0C74">
              <w:rPr>
                <w:color w:val="C00000"/>
                <w:sz w:val="22"/>
                <w:szCs w:val="22"/>
              </w:rPr>
              <w:t>X</w:t>
            </w:r>
            <w:r w:rsidRPr="004E0C74">
              <w:rPr>
                <w:sz w:val="22"/>
                <w:szCs w:val="22"/>
              </w:rPr>
              <w:t>% of Medical Administration Services Only (ASO) Fees at Risk</w:t>
            </w:r>
          </w:p>
          <w:p w14:paraId="75C3232A" w14:textId="77777777" w:rsidR="0097227D" w:rsidRPr="004E0C74" w:rsidRDefault="0097227D" w:rsidP="00127220">
            <w:pPr>
              <w:spacing w:after="200" w:line="276" w:lineRule="auto"/>
              <w:rPr>
                <w:sz w:val="22"/>
                <w:szCs w:val="22"/>
              </w:rPr>
            </w:pPr>
          </w:p>
        </w:tc>
      </w:tr>
    </w:tbl>
    <w:p w14:paraId="7027DEF7" w14:textId="77777777" w:rsidR="0097227D" w:rsidRPr="004E0C74" w:rsidRDefault="0097227D" w:rsidP="00C45142">
      <w:pPr>
        <w:spacing w:after="200" w:line="276" w:lineRule="auto"/>
        <w:ind w:left="360"/>
        <w:rPr>
          <w:sz w:val="22"/>
          <w:szCs w:val="22"/>
        </w:rPr>
      </w:pPr>
    </w:p>
    <w:p w14:paraId="7D71A204" w14:textId="1BDC9639" w:rsidR="00E52DED" w:rsidRPr="004E0C74" w:rsidRDefault="00E52DED" w:rsidP="00E52DED">
      <w:pPr>
        <w:pStyle w:val="ListParagraph"/>
        <w:numPr>
          <w:ilvl w:val="0"/>
          <w:numId w:val="12"/>
        </w:numPr>
        <w:spacing w:after="200" w:line="276" w:lineRule="auto"/>
        <w:rPr>
          <w:b/>
          <w:sz w:val="22"/>
          <w:szCs w:val="22"/>
        </w:rPr>
      </w:pPr>
      <w:r w:rsidRPr="004E0C74">
        <w:rPr>
          <w:b/>
          <w:sz w:val="22"/>
          <w:szCs w:val="22"/>
        </w:rPr>
        <w:t xml:space="preserve">Percent of </w:t>
      </w:r>
      <w:r w:rsidR="00025A24" w:rsidRPr="004E0C74">
        <w:rPr>
          <w:b/>
          <w:sz w:val="22"/>
          <w:szCs w:val="22"/>
        </w:rPr>
        <w:t>P</w:t>
      </w:r>
      <w:r w:rsidR="00E62133" w:rsidRPr="004E0C74">
        <w:rPr>
          <w:b/>
          <w:sz w:val="22"/>
          <w:szCs w:val="22"/>
        </w:rPr>
        <w:t xml:space="preserve">lan </w:t>
      </w:r>
      <w:r w:rsidR="00025A24" w:rsidRPr="004E0C74">
        <w:rPr>
          <w:b/>
          <w:sz w:val="22"/>
          <w:szCs w:val="22"/>
        </w:rPr>
        <w:t>P</w:t>
      </w:r>
      <w:r w:rsidR="00E62133" w:rsidRPr="004E0C74">
        <w:rPr>
          <w:b/>
          <w:sz w:val="22"/>
          <w:szCs w:val="22"/>
        </w:rPr>
        <w:t>articipants</w:t>
      </w:r>
      <w:r w:rsidRPr="004E0C74">
        <w:rPr>
          <w:b/>
          <w:sz w:val="22"/>
          <w:szCs w:val="22"/>
        </w:rPr>
        <w:t xml:space="preserve"> </w:t>
      </w:r>
      <w:r w:rsidR="002079B7" w:rsidRPr="004E0C74">
        <w:rPr>
          <w:b/>
          <w:sz w:val="22"/>
          <w:szCs w:val="22"/>
        </w:rPr>
        <w:t xml:space="preserve">receiving care from providers in </w:t>
      </w:r>
      <w:r w:rsidRPr="004E0C74">
        <w:rPr>
          <w:b/>
          <w:sz w:val="22"/>
          <w:szCs w:val="22"/>
        </w:rPr>
        <w:t>a shared risk ACO</w:t>
      </w:r>
    </w:p>
    <w:tbl>
      <w:tblPr>
        <w:tblStyle w:val="TableGrid"/>
        <w:tblW w:w="5000" w:type="pct"/>
        <w:tblInd w:w="360" w:type="dxa"/>
        <w:tblLook w:val="04A0" w:firstRow="1" w:lastRow="0" w:firstColumn="1" w:lastColumn="0" w:noHBand="0" w:noVBand="1"/>
      </w:tblPr>
      <w:tblGrid>
        <w:gridCol w:w="2517"/>
        <w:gridCol w:w="2491"/>
        <w:gridCol w:w="2188"/>
        <w:gridCol w:w="2154"/>
      </w:tblGrid>
      <w:tr w:rsidR="00E52DED" w:rsidRPr="004E0C74" w14:paraId="2C47D7A8" w14:textId="77777777" w:rsidTr="00D04BC3">
        <w:tc>
          <w:tcPr>
            <w:tcW w:w="2633" w:type="dxa"/>
            <w:shd w:val="clear" w:color="auto" w:fill="D9D9D9" w:themeFill="background1" w:themeFillShade="D9"/>
          </w:tcPr>
          <w:p w14:paraId="0B616F50" w14:textId="77777777" w:rsidR="00E52DED" w:rsidRPr="004E0C74" w:rsidRDefault="00E52DED" w:rsidP="00E52DED">
            <w:pPr>
              <w:spacing w:after="200" w:line="276" w:lineRule="auto"/>
              <w:jc w:val="center"/>
              <w:rPr>
                <w:b/>
                <w:sz w:val="22"/>
                <w:szCs w:val="22"/>
              </w:rPr>
            </w:pPr>
            <w:r w:rsidRPr="004E0C74">
              <w:rPr>
                <w:b/>
                <w:sz w:val="22"/>
                <w:szCs w:val="22"/>
              </w:rPr>
              <w:t>PG Objective</w:t>
            </w:r>
          </w:p>
        </w:tc>
        <w:tc>
          <w:tcPr>
            <w:tcW w:w="2631" w:type="dxa"/>
            <w:shd w:val="clear" w:color="auto" w:fill="D9D9D9" w:themeFill="background1" w:themeFillShade="D9"/>
          </w:tcPr>
          <w:p w14:paraId="33F80D48" w14:textId="77777777" w:rsidR="00E52DED" w:rsidRPr="004E0C74" w:rsidRDefault="00E52DED" w:rsidP="00E52DED">
            <w:pPr>
              <w:spacing w:after="200" w:line="276" w:lineRule="auto"/>
              <w:jc w:val="center"/>
              <w:rPr>
                <w:b/>
                <w:sz w:val="22"/>
                <w:szCs w:val="22"/>
              </w:rPr>
            </w:pPr>
            <w:r w:rsidRPr="004E0C74">
              <w:rPr>
                <w:b/>
                <w:sz w:val="22"/>
                <w:szCs w:val="22"/>
              </w:rPr>
              <w:t>PG Measurement</w:t>
            </w:r>
          </w:p>
        </w:tc>
        <w:tc>
          <w:tcPr>
            <w:tcW w:w="2240" w:type="dxa"/>
            <w:shd w:val="clear" w:color="auto" w:fill="D9D9D9" w:themeFill="background1" w:themeFillShade="D9"/>
          </w:tcPr>
          <w:p w14:paraId="4E2245FE" w14:textId="77777777" w:rsidR="00E52DED" w:rsidRPr="004E0C74" w:rsidRDefault="00E52DED" w:rsidP="00E52DED">
            <w:pPr>
              <w:spacing w:after="200" w:line="276" w:lineRule="auto"/>
              <w:jc w:val="center"/>
              <w:rPr>
                <w:b/>
                <w:sz w:val="22"/>
                <w:szCs w:val="22"/>
              </w:rPr>
            </w:pPr>
            <w:r w:rsidRPr="004E0C74">
              <w:rPr>
                <w:b/>
                <w:sz w:val="22"/>
                <w:szCs w:val="22"/>
              </w:rPr>
              <w:t>Measurement and Reporting Period</w:t>
            </w:r>
          </w:p>
        </w:tc>
        <w:tc>
          <w:tcPr>
            <w:tcW w:w="2240" w:type="dxa"/>
            <w:shd w:val="clear" w:color="auto" w:fill="D9D9D9" w:themeFill="background1" w:themeFillShade="D9"/>
          </w:tcPr>
          <w:p w14:paraId="13E3FC04" w14:textId="77777777" w:rsidR="00E52DED" w:rsidRPr="004E0C74" w:rsidRDefault="00E52DED" w:rsidP="00E52DED">
            <w:pPr>
              <w:spacing w:after="200" w:line="276" w:lineRule="auto"/>
              <w:jc w:val="center"/>
              <w:rPr>
                <w:b/>
                <w:sz w:val="22"/>
                <w:szCs w:val="22"/>
              </w:rPr>
            </w:pPr>
            <w:r w:rsidRPr="004E0C74">
              <w:rPr>
                <w:b/>
                <w:sz w:val="22"/>
                <w:szCs w:val="22"/>
              </w:rPr>
              <w:t>% of Fees At Risk</w:t>
            </w:r>
          </w:p>
        </w:tc>
      </w:tr>
      <w:tr w:rsidR="00E52DED" w:rsidRPr="004E0C74" w14:paraId="0DEC455A" w14:textId="77777777" w:rsidTr="005B6576">
        <w:trPr>
          <w:trHeight w:val="620"/>
        </w:trPr>
        <w:tc>
          <w:tcPr>
            <w:tcW w:w="2633" w:type="dxa"/>
          </w:tcPr>
          <w:p w14:paraId="5B291654" w14:textId="779D02DB" w:rsidR="00E52DED" w:rsidRPr="004E0C74" w:rsidRDefault="00E52DED" w:rsidP="002079B7">
            <w:pPr>
              <w:spacing w:after="200" w:line="276" w:lineRule="auto"/>
              <w:rPr>
                <w:sz w:val="22"/>
                <w:szCs w:val="22"/>
              </w:rPr>
            </w:pPr>
            <w:r w:rsidRPr="004E0C74">
              <w:rPr>
                <w:color w:val="C00000"/>
                <w:sz w:val="22"/>
                <w:szCs w:val="22"/>
              </w:rPr>
              <w:t>X</w:t>
            </w:r>
            <w:r w:rsidRPr="004E0C74">
              <w:rPr>
                <w:sz w:val="22"/>
                <w:szCs w:val="22"/>
              </w:rPr>
              <w:t xml:space="preserve">% of </w:t>
            </w:r>
            <w:r w:rsidR="002079B7" w:rsidRPr="004E0C74">
              <w:rPr>
                <w:sz w:val="22"/>
                <w:szCs w:val="22"/>
              </w:rPr>
              <w:t xml:space="preserve">Plan Participants </w:t>
            </w:r>
            <w:r w:rsidRPr="004E0C74">
              <w:rPr>
                <w:sz w:val="22"/>
                <w:szCs w:val="22"/>
              </w:rPr>
              <w:t xml:space="preserve">(employees and dependents) shall </w:t>
            </w:r>
            <w:r w:rsidR="002079B7" w:rsidRPr="004E0C74">
              <w:rPr>
                <w:sz w:val="22"/>
                <w:szCs w:val="22"/>
              </w:rPr>
              <w:t xml:space="preserve">receive care from </w:t>
            </w:r>
            <w:r w:rsidR="004E1383" w:rsidRPr="004E0C74">
              <w:rPr>
                <w:sz w:val="22"/>
                <w:szCs w:val="22"/>
              </w:rPr>
              <w:t>ACOs</w:t>
            </w:r>
            <w:r w:rsidR="002079B7" w:rsidRPr="004E0C74">
              <w:rPr>
                <w:sz w:val="22"/>
                <w:szCs w:val="22"/>
              </w:rPr>
              <w:t xml:space="preserve"> in a</w:t>
            </w:r>
            <w:r w:rsidRPr="004E0C74">
              <w:rPr>
                <w:sz w:val="22"/>
                <w:szCs w:val="22"/>
              </w:rPr>
              <w:t xml:space="preserve"> shared risk </w:t>
            </w:r>
            <w:r w:rsidR="002079B7" w:rsidRPr="004E0C74">
              <w:rPr>
                <w:sz w:val="22"/>
                <w:szCs w:val="22"/>
              </w:rPr>
              <w:t>arrangement</w:t>
            </w:r>
            <w:r w:rsidR="00EB578A">
              <w:rPr>
                <w:sz w:val="22"/>
                <w:szCs w:val="22"/>
              </w:rPr>
              <w:t xml:space="preserve">, upon agreement and execution of marketing </w:t>
            </w:r>
            <w:r w:rsidR="008C590D">
              <w:rPr>
                <w:sz w:val="22"/>
                <w:szCs w:val="22"/>
              </w:rPr>
              <w:t xml:space="preserve">and communications </w:t>
            </w:r>
            <w:r w:rsidR="00EB578A">
              <w:rPr>
                <w:sz w:val="22"/>
                <w:szCs w:val="22"/>
              </w:rPr>
              <w:lastRenderedPageBreak/>
              <w:t>effort</w:t>
            </w:r>
            <w:r w:rsidR="008C590D">
              <w:rPr>
                <w:sz w:val="22"/>
                <w:szCs w:val="22"/>
              </w:rPr>
              <w:t>s</w:t>
            </w:r>
            <w:r w:rsidR="00EB578A">
              <w:rPr>
                <w:sz w:val="22"/>
                <w:szCs w:val="22"/>
              </w:rPr>
              <w:t xml:space="preserve"> to members profiling specific ACOs </w:t>
            </w:r>
            <w:r w:rsidR="0079366C">
              <w:rPr>
                <w:sz w:val="22"/>
                <w:szCs w:val="22"/>
              </w:rPr>
              <w:t xml:space="preserve">and/or a more attractive benefit design </w:t>
            </w:r>
            <w:r w:rsidR="00EB578A">
              <w:rPr>
                <w:sz w:val="22"/>
                <w:szCs w:val="22"/>
              </w:rPr>
              <w:t>to encourage participation</w:t>
            </w:r>
            <w:r w:rsidRPr="004E0C74">
              <w:rPr>
                <w:sz w:val="22"/>
                <w:szCs w:val="22"/>
              </w:rPr>
              <w:t xml:space="preserve">. </w:t>
            </w:r>
          </w:p>
        </w:tc>
        <w:tc>
          <w:tcPr>
            <w:tcW w:w="2631" w:type="dxa"/>
          </w:tcPr>
          <w:p w14:paraId="524A8D99" w14:textId="7DA48847" w:rsidR="00E52DED" w:rsidRPr="004E0C74" w:rsidRDefault="00E52DED" w:rsidP="00E52DED">
            <w:pPr>
              <w:spacing w:after="200" w:line="276" w:lineRule="auto"/>
              <w:rPr>
                <w:sz w:val="22"/>
                <w:szCs w:val="22"/>
              </w:rPr>
            </w:pPr>
            <w:r w:rsidRPr="004E0C74">
              <w:rPr>
                <w:sz w:val="22"/>
                <w:szCs w:val="22"/>
              </w:rPr>
              <w:lastRenderedPageBreak/>
              <w:t xml:space="preserve">Numerator:  Number of </w:t>
            </w:r>
            <w:r w:rsidR="002079B7" w:rsidRPr="004E0C74">
              <w:rPr>
                <w:sz w:val="22"/>
                <w:szCs w:val="22"/>
              </w:rPr>
              <w:t xml:space="preserve">Plan Participants </w:t>
            </w:r>
            <w:r w:rsidR="005B6576" w:rsidRPr="004E0C74">
              <w:rPr>
                <w:sz w:val="22"/>
                <w:szCs w:val="22"/>
              </w:rPr>
              <w:t xml:space="preserve">in </w:t>
            </w:r>
            <w:r w:rsidRPr="004E0C74">
              <w:rPr>
                <w:sz w:val="22"/>
                <w:szCs w:val="22"/>
              </w:rPr>
              <w:t xml:space="preserve">a shared risk ACO and with at least </w:t>
            </w:r>
            <w:r w:rsidR="0079366C">
              <w:rPr>
                <w:color w:val="FF0000"/>
                <w:sz w:val="22"/>
                <w:szCs w:val="22"/>
              </w:rPr>
              <w:t>X</w:t>
            </w:r>
            <w:r w:rsidR="0079366C" w:rsidRPr="004E0C74">
              <w:rPr>
                <w:sz w:val="22"/>
                <w:szCs w:val="22"/>
              </w:rPr>
              <w:t xml:space="preserve"> </w:t>
            </w:r>
            <w:r w:rsidRPr="004E0C74">
              <w:rPr>
                <w:sz w:val="22"/>
                <w:szCs w:val="22"/>
              </w:rPr>
              <w:t>interaction</w:t>
            </w:r>
            <w:r w:rsidR="00D12F4E">
              <w:rPr>
                <w:sz w:val="22"/>
                <w:szCs w:val="22"/>
              </w:rPr>
              <w:t>(s)</w:t>
            </w:r>
            <w:r w:rsidRPr="004E0C74">
              <w:rPr>
                <w:sz w:val="22"/>
                <w:szCs w:val="22"/>
              </w:rPr>
              <w:t xml:space="preserve"> with the ACO.</w:t>
            </w:r>
          </w:p>
          <w:p w14:paraId="112714CE" w14:textId="20DC666E" w:rsidR="00E52DED" w:rsidRPr="004E0C74" w:rsidRDefault="00E52DED" w:rsidP="00E52DED">
            <w:pPr>
              <w:spacing w:after="200" w:line="276" w:lineRule="auto"/>
              <w:rPr>
                <w:sz w:val="22"/>
                <w:szCs w:val="22"/>
              </w:rPr>
            </w:pPr>
            <w:r w:rsidRPr="004E0C74">
              <w:rPr>
                <w:sz w:val="22"/>
                <w:szCs w:val="22"/>
              </w:rPr>
              <w:t xml:space="preserve">*An interaction is either a provider </w:t>
            </w:r>
            <w:proofErr w:type="gramStart"/>
            <w:r w:rsidRPr="004E0C74">
              <w:rPr>
                <w:sz w:val="22"/>
                <w:szCs w:val="22"/>
              </w:rPr>
              <w:t>visit</w:t>
            </w:r>
            <w:proofErr w:type="gramEnd"/>
            <w:r w:rsidRPr="004E0C74">
              <w:rPr>
                <w:sz w:val="22"/>
                <w:szCs w:val="22"/>
              </w:rPr>
              <w:t xml:space="preserve"> or a </w:t>
            </w:r>
            <w:r w:rsidRPr="004E0C74">
              <w:rPr>
                <w:sz w:val="22"/>
                <w:szCs w:val="22"/>
              </w:rPr>
              <w:lastRenderedPageBreak/>
              <w:t xml:space="preserve">personal outreach by </w:t>
            </w:r>
            <w:r w:rsidR="005B6576" w:rsidRPr="004E0C74">
              <w:rPr>
                <w:sz w:val="22"/>
                <w:szCs w:val="22"/>
              </w:rPr>
              <w:t>the ACO</w:t>
            </w:r>
            <w:r w:rsidRPr="004E0C74">
              <w:rPr>
                <w:sz w:val="22"/>
                <w:szCs w:val="22"/>
              </w:rPr>
              <w:t>.</w:t>
            </w:r>
          </w:p>
          <w:p w14:paraId="2355DDBB" w14:textId="41E95EDF" w:rsidR="00E52DED" w:rsidRPr="004E0C74" w:rsidRDefault="00E52DED" w:rsidP="00E52DED">
            <w:pPr>
              <w:spacing w:after="200" w:line="276" w:lineRule="auto"/>
              <w:rPr>
                <w:sz w:val="22"/>
                <w:szCs w:val="22"/>
              </w:rPr>
            </w:pPr>
            <w:r w:rsidRPr="004E0C74">
              <w:rPr>
                <w:sz w:val="22"/>
                <w:szCs w:val="22"/>
              </w:rPr>
              <w:t xml:space="preserve">Denominator:  Number of </w:t>
            </w:r>
            <w:r w:rsidR="00441612" w:rsidRPr="004E0C74">
              <w:rPr>
                <w:sz w:val="22"/>
                <w:szCs w:val="22"/>
              </w:rPr>
              <w:t>Plan Participants</w:t>
            </w:r>
            <w:r w:rsidRPr="004E0C74">
              <w:rPr>
                <w:sz w:val="22"/>
                <w:szCs w:val="22"/>
              </w:rPr>
              <w:t xml:space="preserve"> </w:t>
            </w:r>
            <w:r w:rsidR="005B6576" w:rsidRPr="004E0C74">
              <w:rPr>
                <w:sz w:val="22"/>
                <w:szCs w:val="22"/>
              </w:rPr>
              <w:t>in</w:t>
            </w:r>
            <w:r w:rsidRPr="004E0C74">
              <w:rPr>
                <w:sz w:val="22"/>
                <w:szCs w:val="22"/>
              </w:rPr>
              <w:t xml:space="preserve"> an ACO (both shared risk and not shared risk) and with at least </w:t>
            </w:r>
            <w:r w:rsidR="0079366C">
              <w:rPr>
                <w:color w:val="FF0000"/>
                <w:sz w:val="22"/>
                <w:szCs w:val="22"/>
              </w:rPr>
              <w:t>X</w:t>
            </w:r>
            <w:r w:rsidR="00D12F4E" w:rsidRPr="004E0C74">
              <w:rPr>
                <w:sz w:val="22"/>
                <w:szCs w:val="22"/>
              </w:rPr>
              <w:t xml:space="preserve"> </w:t>
            </w:r>
            <w:r w:rsidRPr="004E0C74">
              <w:rPr>
                <w:sz w:val="22"/>
                <w:szCs w:val="22"/>
              </w:rPr>
              <w:t>interaction</w:t>
            </w:r>
            <w:r w:rsidR="00D12F4E">
              <w:rPr>
                <w:sz w:val="22"/>
                <w:szCs w:val="22"/>
              </w:rPr>
              <w:t>(s)</w:t>
            </w:r>
            <w:r w:rsidRPr="004E0C74">
              <w:rPr>
                <w:sz w:val="22"/>
                <w:szCs w:val="22"/>
              </w:rPr>
              <w:t xml:space="preserve"> with the ACO.</w:t>
            </w:r>
          </w:p>
        </w:tc>
        <w:tc>
          <w:tcPr>
            <w:tcW w:w="2240" w:type="dxa"/>
          </w:tcPr>
          <w:p w14:paraId="30281FEF" w14:textId="537FA6E8" w:rsidR="00E52DED" w:rsidRPr="004E0C74" w:rsidRDefault="00E52DED" w:rsidP="00E52DED">
            <w:pPr>
              <w:spacing w:after="200" w:line="276" w:lineRule="auto"/>
              <w:rPr>
                <w:sz w:val="22"/>
                <w:szCs w:val="22"/>
              </w:rPr>
            </w:pPr>
            <w:r w:rsidRPr="004E0C74">
              <w:rPr>
                <w:sz w:val="22"/>
                <w:szCs w:val="22"/>
              </w:rPr>
              <w:lastRenderedPageBreak/>
              <w:t xml:space="preserve">Results reported on a </w:t>
            </w:r>
            <w:r w:rsidR="008C590D" w:rsidRPr="0079366C">
              <w:rPr>
                <w:color w:val="C00000"/>
                <w:sz w:val="22"/>
                <w:szCs w:val="22"/>
              </w:rPr>
              <w:t>[annual/</w:t>
            </w:r>
            <w:r w:rsidRPr="0079366C">
              <w:rPr>
                <w:color w:val="C00000"/>
                <w:sz w:val="22"/>
                <w:szCs w:val="22"/>
              </w:rPr>
              <w:t>biannual</w:t>
            </w:r>
            <w:r w:rsidR="008C590D" w:rsidRPr="0079366C">
              <w:rPr>
                <w:color w:val="C00000"/>
                <w:sz w:val="22"/>
                <w:szCs w:val="22"/>
              </w:rPr>
              <w:t>]</w:t>
            </w:r>
            <w:r w:rsidRPr="0079366C">
              <w:rPr>
                <w:color w:val="C00000"/>
                <w:sz w:val="22"/>
                <w:szCs w:val="22"/>
              </w:rPr>
              <w:t xml:space="preserve"> </w:t>
            </w:r>
            <w:r w:rsidRPr="004E0C74">
              <w:rPr>
                <w:sz w:val="22"/>
                <w:szCs w:val="22"/>
              </w:rPr>
              <w:t>basis.</w:t>
            </w:r>
          </w:p>
          <w:p w14:paraId="0E5DD4DE" w14:textId="77777777" w:rsidR="00E52DED" w:rsidRPr="004E0C74" w:rsidRDefault="00E52DED" w:rsidP="00E52DED">
            <w:pPr>
              <w:spacing w:after="200" w:line="276" w:lineRule="auto"/>
              <w:rPr>
                <w:sz w:val="22"/>
                <w:szCs w:val="22"/>
              </w:rPr>
            </w:pPr>
            <w:r w:rsidRPr="004E0C74">
              <w:rPr>
                <w:sz w:val="22"/>
                <w:szCs w:val="22"/>
              </w:rPr>
              <w:t xml:space="preserve">Any penalties owed to </w:t>
            </w:r>
            <w:r w:rsidRPr="004E0C74">
              <w:rPr>
                <w:color w:val="C00000"/>
                <w:sz w:val="22"/>
                <w:szCs w:val="22"/>
              </w:rPr>
              <w:t>[Company]</w:t>
            </w:r>
            <w:r w:rsidRPr="004E0C74">
              <w:rPr>
                <w:color w:val="FF0000"/>
                <w:sz w:val="22"/>
                <w:szCs w:val="22"/>
              </w:rPr>
              <w:t xml:space="preserve"> </w:t>
            </w:r>
            <w:r w:rsidRPr="004E0C74">
              <w:rPr>
                <w:sz w:val="22"/>
                <w:szCs w:val="22"/>
              </w:rPr>
              <w:t xml:space="preserve">shall be </w:t>
            </w:r>
            <w:r w:rsidRPr="004E0C74">
              <w:rPr>
                <w:sz w:val="22"/>
                <w:szCs w:val="22"/>
              </w:rPr>
              <w:lastRenderedPageBreak/>
              <w:t xml:space="preserve">paid out on an annual basis. </w:t>
            </w:r>
          </w:p>
          <w:p w14:paraId="1988021E" w14:textId="7EDA2DCF" w:rsidR="00E52DED" w:rsidRPr="004E0C74" w:rsidRDefault="00E52DED" w:rsidP="00E52DED">
            <w:pPr>
              <w:spacing w:after="200" w:line="276" w:lineRule="auto"/>
              <w:rPr>
                <w:sz w:val="22"/>
                <w:szCs w:val="22"/>
              </w:rPr>
            </w:pPr>
            <w:r w:rsidRPr="004E0C74">
              <w:rPr>
                <w:sz w:val="22"/>
                <w:szCs w:val="22"/>
              </w:rPr>
              <w:t xml:space="preserve">Administrator shall report results within </w:t>
            </w:r>
            <w:r w:rsidR="005B6576" w:rsidRPr="004E0C74">
              <w:rPr>
                <w:sz w:val="22"/>
                <w:szCs w:val="22"/>
              </w:rPr>
              <w:t>60</w:t>
            </w:r>
            <w:r w:rsidRPr="004E0C74">
              <w:rPr>
                <w:sz w:val="22"/>
                <w:szCs w:val="22"/>
              </w:rPr>
              <w:t xml:space="preserve"> calendar days after the </w:t>
            </w:r>
            <w:r w:rsidR="005B6576" w:rsidRPr="004E0C74">
              <w:rPr>
                <w:sz w:val="22"/>
                <w:szCs w:val="22"/>
              </w:rPr>
              <w:t>Measurement Period</w:t>
            </w:r>
            <w:r w:rsidRPr="004E0C74">
              <w:rPr>
                <w:sz w:val="22"/>
                <w:szCs w:val="22"/>
              </w:rPr>
              <w:t>.</w:t>
            </w:r>
          </w:p>
          <w:p w14:paraId="40BBEF3D" w14:textId="3E4203AA" w:rsidR="00781B26" w:rsidRPr="004E0C74" w:rsidRDefault="00781B26" w:rsidP="00E52DED">
            <w:pPr>
              <w:spacing w:after="200" w:line="276" w:lineRule="auto"/>
              <w:rPr>
                <w:sz w:val="22"/>
                <w:szCs w:val="22"/>
              </w:rPr>
            </w:pPr>
          </w:p>
        </w:tc>
        <w:tc>
          <w:tcPr>
            <w:tcW w:w="2240" w:type="dxa"/>
          </w:tcPr>
          <w:p w14:paraId="04D5BF8B" w14:textId="77777777" w:rsidR="00E52DED" w:rsidRPr="004E0C74" w:rsidRDefault="00E52DED" w:rsidP="00E52DED">
            <w:pPr>
              <w:spacing w:after="200" w:line="276" w:lineRule="auto"/>
              <w:rPr>
                <w:sz w:val="22"/>
                <w:szCs w:val="22"/>
              </w:rPr>
            </w:pPr>
            <w:r w:rsidRPr="004E0C74">
              <w:rPr>
                <w:color w:val="C00000"/>
                <w:sz w:val="22"/>
                <w:szCs w:val="22"/>
              </w:rPr>
              <w:lastRenderedPageBreak/>
              <w:t>X</w:t>
            </w:r>
            <w:r w:rsidRPr="004E0C74">
              <w:rPr>
                <w:sz w:val="22"/>
                <w:szCs w:val="22"/>
              </w:rPr>
              <w:t>% of Medical Administration Services Only (ASO) Fees at Risk</w:t>
            </w:r>
          </w:p>
          <w:p w14:paraId="1721FCCF" w14:textId="77777777" w:rsidR="00E52DED" w:rsidRPr="004E0C74" w:rsidRDefault="00E52DED" w:rsidP="00E52DED">
            <w:pPr>
              <w:spacing w:after="200" w:line="276" w:lineRule="auto"/>
              <w:rPr>
                <w:sz w:val="22"/>
                <w:szCs w:val="22"/>
              </w:rPr>
            </w:pPr>
          </w:p>
        </w:tc>
      </w:tr>
    </w:tbl>
    <w:p w14:paraId="3C2D515B" w14:textId="77777777" w:rsidR="00E52DED" w:rsidRPr="004E0C74" w:rsidRDefault="00E52DED" w:rsidP="00E52DED">
      <w:pPr>
        <w:spacing w:after="200" w:line="276" w:lineRule="auto"/>
        <w:rPr>
          <w:sz w:val="22"/>
          <w:szCs w:val="22"/>
        </w:rPr>
      </w:pPr>
    </w:p>
    <w:p w14:paraId="3196EAB9" w14:textId="6297C271" w:rsidR="00E52DED" w:rsidRPr="004E0C74" w:rsidRDefault="00E52DED" w:rsidP="00E52DED">
      <w:pPr>
        <w:pStyle w:val="ListParagraph"/>
        <w:numPr>
          <w:ilvl w:val="0"/>
          <w:numId w:val="12"/>
        </w:numPr>
        <w:spacing w:after="200" w:line="276" w:lineRule="auto"/>
        <w:rPr>
          <w:b/>
          <w:sz w:val="22"/>
          <w:szCs w:val="22"/>
        </w:rPr>
      </w:pPr>
      <w:r w:rsidRPr="004E0C74">
        <w:rPr>
          <w:b/>
          <w:sz w:val="22"/>
          <w:szCs w:val="22"/>
        </w:rPr>
        <w:t xml:space="preserve">Percent increase of </w:t>
      </w:r>
      <w:r w:rsidR="00025A24" w:rsidRPr="004E0C74">
        <w:rPr>
          <w:b/>
          <w:sz w:val="22"/>
          <w:szCs w:val="22"/>
        </w:rPr>
        <w:t>P</w:t>
      </w:r>
      <w:r w:rsidR="00E62133" w:rsidRPr="004E0C74">
        <w:rPr>
          <w:b/>
          <w:sz w:val="22"/>
          <w:szCs w:val="22"/>
        </w:rPr>
        <w:t xml:space="preserve">lan </w:t>
      </w:r>
      <w:r w:rsidR="00025A24" w:rsidRPr="004E0C74">
        <w:rPr>
          <w:b/>
          <w:sz w:val="22"/>
          <w:szCs w:val="22"/>
        </w:rPr>
        <w:t>P</w:t>
      </w:r>
      <w:r w:rsidR="00E62133" w:rsidRPr="004E0C74">
        <w:rPr>
          <w:b/>
          <w:sz w:val="22"/>
          <w:szCs w:val="22"/>
        </w:rPr>
        <w:t>articipants</w:t>
      </w:r>
      <w:r w:rsidRPr="004E0C74">
        <w:rPr>
          <w:b/>
          <w:sz w:val="22"/>
          <w:szCs w:val="22"/>
        </w:rPr>
        <w:t xml:space="preserve"> </w:t>
      </w:r>
      <w:r w:rsidR="005B6576" w:rsidRPr="004E0C74">
        <w:rPr>
          <w:b/>
          <w:sz w:val="22"/>
          <w:szCs w:val="22"/>
        </w:rPr>
        <w:t>in</w:t>
      </w:r>
      <w:r w:rsidR="00F23710" w:rsidRPr="004E0C74">
        <w:rPr>
          <w:b/>
          <w:sz w:val="22"/>
          <w:szCs w:val="22"/>
        </w:rPr>
        <w:t xml:space="preserve"> a shared risk ACO</w:t>
      </w:r>
    </w:p>
    <w:tbl>
      <w:tblPr>
        <w:tblStyle w:val="TableGrid"/>
        <w:tblW w:w="5000" w:type="pct"/>
        <w:tblInd w:w="360" w:type="dxa"/>
        <w:tblLook w:val="04A0" w:firstRow="1" w:lastRow="0" w:firstColumn="1" w:lastColumn="0" w:noHBand="0" w:noVBand="1"/>
      </w:tblPr>
      <w:tblGrid>
        <w:gridCol w:w="2323"/>
        <w:gridCol w:w="2558"/>
        <w:gridCol w:w="2234"/>
        <w:gridCol w:w="2235"/>
      </w:tblGrid>
      <w:tr w:rsidR="00E52DED" w:rsidRPr="004E0C74" w14:paraId="169326C7" w14:textId="77777777" w:rsidTr="00D04BC3">
        <w:tc>
          <w:tcPr>
            <w:tcW w:w="2323" w:type="dxa"/>
            <w:shd w:val="clear" w:color="auto" w:fill="D9D9D9" w:themeFill="background1" w:themeFillShade="D9"/>
          </w:tcPr>
          <w:p w14:paraId="05B78CCF" w14:textId="77777777" w:rsidR="00E52DED" w:rsidRPr="004E0C74" w:rsidRDefault="00E52DED" w:rsidP="00E52DED">
            <w:pPr>
              <w:spacing w:after="200" w:line="276" w:lineRule="auto"/>
              <w:jc w:val="center"/>
              <w:rPr>
                <w:b/>
                <w:sz w:val="22"/>
                <w:szCs w:val="22"/>
              </w:rPr>
            </w:pPr>
            <w:r w:rsidRPr="004E0C74">
              <w:rPr>
                <w:b/>
                <w:sz w:val="22"/>
                <w:szCs w:val="22"/>
              </w:rPr>
              <w:t>PG Objective</w:t>
            </w:r>
          </w:p>
        </w:tc>
        <w:tc>
          <w:tcPr>
            <w:tcW w:w="2558" w:type="dxa"/>
            <w:shd w:val="clear" w:color="auto" w:fill="D9D9D9" w:themeFill="background1" w:themeFillShade="D9"/>
          </w:tcPr>
          <w:p w14:paraId="6DA18D41" w14:textId="77777777" w:rsidR="00E52DED" w:rsidRPr="004E0C74" w:rsidRDefault="00E52DED" w:rsidP="00E52DED">
            <w:pPr>
              <w:spacing w:after="200" w:line="276" w:lineRule="auto"/>
              <w:jc w:val="center"/>
              <w:rPr>
                <w:b/>
                <w:sz w:val="22"/>
                <w:szCs w:val="22"/>
              </w:rPr>
            </w:pPr>
            <w:r w:rsidRPr="004E0C74">
              <w:rPr>
                <w:b/>
                <w:sz w:val="22"/>
                <w:szCs w:val="22"/>
              </w:rPr>
              <w:t>PG Measurement</w:t>
            </w:r>
          </w:p>
        </w:tc>
        <w:tc>
          <w:tcPr>
            <w:tcW w:w="2234" w:type="dxa"/>
            <w:shd w:val="clear" w:color="auto" w:fill="D9D9D9" w:themeFill="background1" w:themeFillShade="D9"/>
          </w:tcPr>
          <w:p w14:paraId="69B4EF52" w14:textId="77777777" w:rsidR="00E52DED" w:rsidRPr="004E0C74" w:rsidRDefault="00E52DED" w:rsidP="00E52DED">
            <w:pPr>
              <w:spacing w:after="200" w:line="276" w:lineRule="auto"/>
              <w:jc w:val="center"/>
              <w:rPr>
                <w:b/>
                <w:sz w:val="22"/>
                <w:szCs w:val="22"/>
              </w:rPr>
            </w:pPr>
            <w:r w:rsidRPr="004E0C74">
              <w:rPr>
                <w:b/>
                <w:sz w:val="22"/>
                <w:szCs w:val="22"/>
              </w:rPr>
              <w:t>Measurement and Reporting Period</w:t>
            </w:r>
          </w:p>
        </w:tc>
        <w:tc>
          <w:tcPr>
            <w:tcW w:w="2235" w:type="dxa"/>
            <w:shd w:val="clear" w:color="auto" w:fill="D9D9D9" w:themeFill="background1" w:themeFillShade="D9"/>
          </w:tcPr>
          <w:p w14:paraId="5D4E0E9B" w14:textId="77777777" w:rsidR="00E52DED" w:rsidRPr="004E0C74" w:rsidRDefault="00E52DED" w:rsidP="00E52DED">
            <w:pPr>
              <w:spacing w:after="200" w:line="276" w:lineRule="auto"/>
              <w:jc w:val="center"/>
              <w:rPr>
                <w:b/>
                <w:sz w:val="22"/>
                <w:szCs w:val="22"/>
              </w:rPr>
            </w:pPr>
            <w:r w:rsidRPr="004E0C74">
              <w:rPr>
                <w:b/>
                <w:sz w:val="22"/>
                <w:szCs w:val="22"/>
              </w:rPr>
              <w:t>% of Fees At Risk</w:t>
            </w:r>
          </w:p>
        </w:tc>
      </w:tr>
      <w:tr w:rsidR="00E52DED" w:rsidRPr="004E0C74" w14:paraId="2A0E9655" w14:textId="77777777" w:rsidTr="00E52DED">
        <w:tc>
          <w:tcPr>
            <w:tcW w:w="2323" w:type="dxa"/>
          </w:tcPr>
          <w:p w14:paraId="26436B4C" w14:textId="134FF24D" w:rsidR="00E52DED" w:rsidRPr="004E0C74" w:rsidRDefault="00E52DED" w:rsidP="00E52DED">
            <w:pPr>
              <w:spacing w:after="200" w:line="276" w:lineRule="auto"/>
              <w:rPr>
                <w:sz w:val="22"/>
                <w:szCs w:val="22"/>
              </w:rPr>
            </w:pPr>
            <w:r w:rsidRPr="004E0C74">
              <w:rPr>
                <w:sz w:val="22"/>
                <w:szCs w:val="22"/>
              </w:rPr>
              <w:t xml:space="preserve">Year 0 (Baseline): </w:t>
            </w:r>
            <w:r w:rsidRPr="004E0C74">
              <w:rPr>
                <w:color w:val="C00000"/>
                <w:sz w:val="22"/>
                <w:szCs w:val="22"/>
              </w:rPr>
              <w:t>X</w:t>
            </w:r>
            <w:r w:rsidRPr="004E0C74">
              <w:rPr>
                <w:sz w:val="22"/>
                <w:szCs w:val="22"/>
              </w:rPr>
              <w:t xml:space="preserve">% of </w:t>
            </w:r>
            <w:r w:rsidR="002079B7" w:rsidRPr="004E0C74">
              <w:rPr>
                <w:sz w:val="22"/>
                <w:szCs w:val="22"/>
              </w:rPr>
              <w:t xml:space="preserve">Plan Participants </w:t>
            </w:r>
            <w:r w:rsidR="005B6576" w:rsidRPr="004E0C74">
              <w:rPr>
                <w:sz w:val="22"/>
                <w:szCs w:val="22"/>
              </w:rPr>
              <w:t xml:space="preserve">in </w:t>
            </w:r>
            <w:r w:rsidRPr="004E0C74">
              <w:rPr>
                <w:sz w:val="22"/>
                <w:szCs w:val="22"/>
              </w:rPr>
              <w:t>a shared risk ACO.</w:t>
            </w:r>
          </w:p>
          <w:p w14:paraId="037815A2" w14:textId="79518C56" w:rsidR="00E52DED" w:rsidRPr="004E0C74" w:rsidRDefault="00E52DED" w:rsidP="00E52DED">
            <w:pPr>
              <w:spacing w:after="200" w:line="276" w:lineRule="auto"/>
              <w:rPr>
                <w:sz w:val="22"/>
                <w:szCs w:val="22"/>
              </w:rPr>
            </w:pPr>
            <w:r w:rsidRPr="004E0C74">
              <w:rPr>
                <w:sz w:val="22"/>
                <w:szCs w:val="22"/>
              </w:rPr>
              <w:t xml:space="preserve">Year 1:  </w:t>
            </w:r>
            <w:r w:rsidR="005B6576" w:rsidRPr="004E0C74">
              <w:rPr>
                <w:color w:val="C00000"/>
                <w:sz w:val="22"/>
                <w:szCs w:val="22"/>
              </w:rPr>
              <w:t>X</w:t>
            </w:r>
            <w:r w:rsidRPr="004E0C74">
              <w:rPr>
                <w:sz w:val="22"/>
                <w:szCs w:val="22"/>
              </w:rPr>
              <w:t xml:space="preserve">% increase in </w:t>
            </w:r>
            <w:r w:rsidR="002079B7" w:rsidRPr="004E0C74">
              <w:rPr>
                <w:sz w:val="22"/>
                <w:szCs w:val="22"/>
              </w:rPr>
              <w:t xml:space="preserve">Plan Participants </w:t>
            </w:r>
            <w:r w:rsidR="005B6576" w:rsidRPr="004E0C74">
              <w:rPr>
                <w:sz w:val="22"/>
                <w:szCs w:val="22"/>
              </w:rPr>
              <w:t>in</w:t>
            </w:r>
            <w:r w:rsidRPr="004E0C74">
              <w:rPr>
                <w:sz w:val="22"/>
                <w:szCs w:val="22"/>
              </w:rPr>
              <w:t xml:space="preserve"> a shared risk ACO.</w:t>
            </w:r>
          </w:p>
          <w:p w14:paraId="30E2A538" w14:textId="3B9F6463" w:rsidR="00E52DED" w:rsidRPr="004E0C74" w:rsidRDefault="00E52DED" w:rsidP="00E52DED">
            <w:pPr>
              <w:spacing w:after="200" w:line="276" w:lineRule="auto"/>
              <w:rPr>
                <w:sz w:val="22"/>
                <w:szCs w:val="22"/>
              </w:rPr>
            </w:pPr>
            <w:r w:rsidRPr="004E0C74">
              <w:rPr>
                <w:sz w:val="22"/>
                <w:szCs w:val="22"/>
              </w:rPr>
              <w:t xml:space="preserve">Year 2:  </w:t>
            </w:r>
            <w:r w:rsidR="005B6576" w:rsidRPr="004E0C74">
              <w:rPr>
                <w:color w:val="C00000"/>
                <w:sz w:val="22"/>
                <w:szCs w:val="22"/>
              </w:rPr>
              <w:t>X</w:t>
            </w:r>
            <w:r w:rsidRPr="004E0C74">
              <w:rPr>
                <w:sz w:val="22"/>
                <w:szCs w:val="22"/>
              </w:rPr>
              <w:t xml:space="preserve">% increase in </w:t>
            </w:r>
            <w:r w:rsidR="002079B7" w:rsidRPr="004E0C74">
              <w:rPr>
                <w:sz w:val="22"/>
                <w:szCs w:val="22"/>
              </w:rPr>
              <w:t xml:space="preserve">Plan Participants </w:t>
            </w:r>
            <w:r w:rsidR="005B6576" w:rsidRPr="004E0C74">
              <w:rPr>
                <w:sz w:val="22"/>
                <w:szCs w:val="22"/>
              </w:rPr>
              <w:t xml:space="preserve">in </w:t>
            </w:r>
            <w:r w:rsidRPr="004E0C74">
              <w:rPr>
                <w:sz w:val="22"/>
                <w:szCs w:val="22"/>
              </w:rPr>
              <w:t>a shared risk ACO.</w:t>
            </w:r>
          </w:p>
          <w:p w14:paraId="7E5BC0EA" w14:textId="77777777" w:rsidR="00E52DED" w:rsidRDefault="00E52DED" w:rsidP="002079B7">
            <w:pPr>
              <w:spacing w:after="200" w:line="276" w:lineRule="auto"/>
              <w:rPr>
                <w:sz w:val="22"/>
                <w:szCs w:val="22"/>
              </w:rPr>
            </w:pPr>
            <w:r w:rsidRPr="004E0C74">
              <w:rPr>
                <w:sz w:val="22"/>
                <w:szCs w:val="22"/>
              </w:rPr>
              <w:t xml:space="preserve">Year 3:  </w:t>
            </w:r>
            <w:r w:rsidR="005B6576" w:rsidRPr="004E0C74">
              <w:rPr>
                <w:color w:val="C00000"/>
                <w:sz w:val="22"/>
                <w:szCs w:val="22"/>
              </w:rPr>
              <w:t>X</w:t>
            </w:r>
            <w:r w:rsidRPr="004E0C74">
              <w:rPr>
                <w:sz w:val="22"/>
                <w:szCs w:val="22"/>
              </w:rPr>
              <w:t xml:space="preserve">% increase in </w:t>
            </w:r>
            <w:r w:rsidR="002079B7" w:rsidRPr="004E0C74">
              <w:rPr>
                <w:sz w:val="22"/>
                <w:szCs w:val="22"/>
              </w:rPr>
              <w:t xml:space="preserve">Plan Participants </w:t>
            </w:r>
            <w:r w:rsidR="005B6576" w:rsidRPr="004E0C74">
              <w:rPr>
                <w:sz w:val="22"/>
                <w:szCs w:val="22"/>
              </w:rPr>
              <w:t xml:space="preserve">in </w:t>
            </w:r>
            <w:r w:rsidRPr="004E0C74">
              <w:rPr>
                <w:sz w:val="22"/>
                <w:szCs w:val="22"/>
              </w:rPr>
              <w:t>a shared risk ACO.</w:t>
            </w:r>
          </w:p>
          <w:p w14:paraId="01E9261F" w14:textId="68B77465" w:rsidR="00EB578A" w:rsidRPr="004E0C74" w:rsidRDefault="00EB578A" w:rsidP="002079B7">
            <w:pPr>
              <w:spacing w:after="200" w:line="276" w:lineRule="auto"/>
              <w:rPr>
                <w:sz w:val="22"/>
                <w:szCs w:val="22"/>
              </w:rPr>
            </w:pPr>
            <w:r>
              <w:rPr>
                <w:sz w:val="22"/>
                <w:szCs w:val="22"/>
              </w:rPr>
              <w:t xml:space="preserve">Upon agreement and execution of marketing </w:t>
            </w:r>
            <w:r w:rsidR="008C590D">
              <w:rPr>
                <w:sz w:val="22"/>
                <w:szCs w:val="22"/>
              </w:rPr>
              <w:t xml:space="preserve">and communications </w:t>
            </w:r>
            <w:r>
              <w:rPr>
                <w:sz w:val="22"/>
                <w:szCs w:val="22"/>
              </w:rPr>
              <w:t xml:space="preserve">efforts to members profiling specific ACOs </w:t>
            </w:r>
            <w:r w:rsidR="0079366C">
              <w:rPr>
                <w:sz w:val="22"/>
                <w:szCs w:val="22"/>
              </w:rPr>
              <w:t xml:space="preserve">and/or a more attractive benefit design </w:t>
            </w:r>
            <w:r>
              <w:rPr>
                <w:sz w:val="22"/>
                <w:szCs w:val="22"/>
              </w:rPr>
              <w:t>to encourage participation</w:t>
            </w:r>
            <w:r w:rsidRPr="004E0C74">
              <w:rPr>
                <w:sz w:val="22"/>
                <w:szCs w:val="22"/>
              </w:rPr>
              <w:t xml:space="preserve">. </w:t>
            </w:r>
          </w:p>
        </w:tc>
        <w:tc>
          <w:tcPr>
            <w:tcW w:w="2558" w:type="dxa"/>
          </w:tcPr>
          <w:p w14:paraId="0D18916C" w14:textId="77777777" w:rsidR="008237B8" w:rsidRPr="004E0C74" w:rsidRDefault="008237B8" w:rsidP="00E52DED">
            <w:pPr>
              <w:spacing w:after="200" w:line="276" w:lineRule="auto"/>
              <w:rPr>
                <w:sz w:val="22"/>
                <w:szCs w:val="22"/>
              </w:rPr>
            </w:pPr>
            <w:r w:rsidRPr="004E0C74">
              <w:rPr>
                <w:sz w:val="22"/>
                <w:szCs w:val="22"/>
              </w:rPr>
              <w:t>For each year, calculate percent of Plan Participants in a shared risk ACO as follows:</w:t>
            </w:r>
          </w:p>
          <w:p w14:paraId="68681F64" w14:textId="2F42E353" w:rsidR="00E52DED" w:rsidRPr="004E0C74" w:rsidRDefault="00E52DED" w:rsidP="00E52DED">
            <w:pPr>
              <w:spacing w:after="200" w:line="276" w:lineRule="auto"/>
              <w:rPr>
                <w:sz w:val="22"/>
                <w:szCs w:val="22"/>
              </w:rPr>
            </w:pPr>
            <w:r w:rsidRPr="004E0C74">
              <w:rPr>
                <w:sz w:val="22"/>
                <w:szCs w:val="22"/>
              </w:rPr>
              <w:t xml:space="preserve">Numerator:  Number of </w:t>
            </w:r>
            <w:r w:rsidR="00781B26" w:rsidRPr="004E0C74">
              <w:rPr>
                <w:sz w:val="22"/>
                <w:szCs w:val="22"/>
              </w:rPr>
              <w:t xml:space="preserve">Plan Participants </w:t>
            </w:r>
            <w:r w:rsidR="005B6576" w:rsidRPr="004E0C74">
              <w:rPr>
                <w:sz w:val="22"/>
                <w:szCs w:val="22"/>
              </w:rPr>
              <w:t xml:space="preserve">in </w:t>
            </w:r>
            <w:r w:rsidRPr="004E0C74">
              <w:rPr>
                <w:sz w:val="22"/>
                <w:szCs w:val="22"/>
              </w:rPr>
              <w:t xml:space="preserve">a shared risk ACO and with at least </w:t>
            </w:r>
            <w:r w:rsidR="0079366C">
              <w:rPr>
                <w:color w:val="FF0000"/>
                <w:sz w:val="22"/>
                <w:szCs w:val="22"/>
              </w:rPr>
              <w:t>X</w:t>
            </w:r>
            <w:r w:rsidR="00EB578A" w:rsidRPr="004E0C74">
              <w:rPr>
                <w:sz w:val="22"/>
                <w:szCs w:val="22"/>
              </w:rPr>
              <w:t xml:space="preserve"> </w:t>
            </w:r>
            <w:r w:rsidRPr="004E0C74">
              <w:rPr>
                <w:sz w:val="22"/>
                <w:szCs w:val="22"/>
              </w:rPr>
              <w:t>interaction</w:t>
            </w:r>
            <w:r w:rsidR="00EB578A">
              <w:rPr>
                <w:sz w:val="22"/>
                <w:szCs w:val="22"/>
              </w:rPr>
              <w:t>(s)</w:t>
            </w:r>
            <w:r w:rsidRPr="004E0C74">
              <w:rPr>
                <w:sz w:val="22"/>
                <w:szCs w:val="22"/>
              </w:rPr>
              <w:t xml:space="preserve"> with the ACO.</w:t>
            </w:r>
          </w:p>
          <w:p w14:paraId="7D893F01" w14:textId="7F126457" w:rsidR="00E52DED" w:rsidRPr="004E0C74" w:rsidRDefault="00E52DED" w:rsidP="00E52DED">
            <w:pPr>
              <w:spacing w:after="200" w:line="276" w:lineRule="auto"/>
              <w:rPr>
                <w:sz w:val="22"/>
                <w:szCs w:val="22"/>
              </w:rPr>
            </w:pPr>
            <w:r w:rsidRPr="004E0C74">
              <w:rPr>
                <w:sz w:val="22"/>
                <w:szCs w:val="22"/>
              </w:rPr>
              <w:t xml:space="preserve">*An interaction is either a provider </w:t>
            </w:r>
            <w:proofErr w:type="gramStart"/>
            <w:r w:rsidRPr="004E0C74">
              <w:rPr>
                <w:sz w:val="22"/>
                <w:szCs w:val="22"/>
              </w:rPr>
              <w:t>visit</w:t>
            </w:r>
            <w:proofErr w:type="gramEnd"/>
            <w:r w:rsidRPr="004E0C74">
              <w:rPr>
                <w:sz w:val="22"/>
                <w:szCs w:val="22"/>
              </w:rPr>
              <w:t xml:space="preserve"> or a personal outreach by the ACO.</w:t>
            </w:r>
          </w:p>
          <w:p w14:paraId="7B2BE7F9" w14:textId="79E57593" w:rsidR="00E52DED" w:rsidRPr="004E0C74" w:rsidRDefault="00E52DED" w:rsidP="00781B26">
            <w:pPr>
              <w:spacing w:after="200" w:line="276" w:lineRule="auto"/>
              <w:rPr>
                <w:sz w:val="22"/>
                <w:szCs w:val="22"/>
              </w:rPr>
            </w:pPr>
            <w:r w:rsidRPr="004E0C74">
              <w:rPr>
                <w:sz w:val="22"/>
                <w:szCs w:val="22"/>
              </w:rPr>
              <w:t xml:space="preserve">Denominator:  Number of </w:t>
            </w:r>
            <w:r w:rsidR="00781B26" w:rsidRPr="004E0C74">
              <w:rPr>
                <w:sz w:val="22"/>
                <w:szCs w:val="22"/>
              </w:rPr>
              <w:t xml:space="preserve">Plan Participants </w:t>
            </w:r>
            <w:r w:rsidR="005B6576" w:rsidRPr="004E0C74">
              <w:rPr>
                <w:sz w:val="22"/>
                <w:szCs w:val="22"/>
              </w:rPr>
              <w:t xml:space="preserve">in </w:t>
            </w:r>
            <w:r w:rsidRPr="004E0C74">
              <w:rPr>
                <w:sz w:val="22"/>
                <w:szCs w:val="22"/>
              </w:rPr>
              <w:t xml:space="preserve">an ACO (both shared risk and not shared risk) and with at least </w:t>
            </w:r>
            <w:r w:rsidR="005C5129">
              <w:rPr>
                <w:color w:val="FF0000"/>
                <w:sz w:val="22"/>
                <w:szCs w:val="22"/>
              </w:rPr>
              <w:t>X</w:t>
            </w:r>
            <w:r w:rsidR="00EB578A" w:rsidRPr="004E0C74">
              <w:rPr>
                <w:sz w:val="22"/>
                <w:szCs w:val="22"/>
              </w:rPr>
              <w:t xml:space="preserve"> </w:t>
            </w:r>
            <w:r w:rsidRPr="004E0C74">
              <w:rPr>
                <w:sz w:val="22"/>
                <w:szCs w:val="22"/>
              </w:rPr>
              <w:t>interaction</w:t>
            </w:r>
            <w:r w:rsidR="00EB578A">
              <w:rPr>
                <w:sz w:val="22"/>
                <w:szCs w:val="22"/>
              </w:rPr>
              <w:t>(s)</w:t>
            </w:r>
            <w:r w:rsidRPr="004E0C74">
              <w:rPr>
                <w:sz w:val="22"/>
                <w:szCs w:val="22"/>
              </w:rPr>
              <w:t xml:space="preserve"> with the ACO.</w:t>
            </w:r>
          </w:p>
          <w:p w14:paraId="15430DFD" w14:textId="4E454A8F" w:rsidR="008237B8" w:rsidRPr="004E0C74" w:rsidRDefault="008237B8" w:rsidP="00781B26">
            <w:pPr>
              <w:spacing w:after="200" w:line="276" w:lineRule="auto"/>
              <w:rPr>
                <w:sz w:val="22"/>
                <w:szCs w:val="22"/>
              </w:rPr>
            </w:pPr>
            <w:r w:rsidRPr="004E0C74">
              <w:rPr>
                <w:sz w:val="22"/>
                <w:szCs w:val="22"/>
              </w:rPr>
              <w:t xml:space="preserve">Current year divided by prior year minus 1 equals the percent increase year </w:t>
            </w:r>
            <w:r w:rsidRPr="004E0C74">
              <w:rPr>
                <w:sz w:val="22"/>
                <w:szCs w:val="22"/>
              </w:rPr>
              <w:lastRenderedPageBreak/>
              <w:t>over year for Plan Participants in a shared risk ACO.</w:t>
            </w:r>
          </w:p>
        </w:tc>
        <w:tc>
          <w:tcPr>
            <w:tcW w:w="2234" w:type="dxa"/>
          </w:tcPr>
          <w:p w14:paraId="487C69DE" w14:textId="6B43E313" w:rsidR="00E52DED" w:rsidRPr="004E0C74" w:rsidRDefault="00E52DED" w:rsidP="00E52DED">
            <w:pPr>
              <w:spacing w:after="200" w:line="276" w:lineRule="auto"/>
              <w:rPr>
                <w:sz w:val="22"/>
                <w:szCs w:val="22"/>
              </w:rPr>
            </w:pPr>
            <w:r w:rsidRPr="004E0C74">
              <w:rPr>
                <w:sz w:val="22"/>
                <w:szCs w:val="22"/>
              </w:rPr>
              <w:lastRenderedPageBreak/>
              <w:t>Results reported on a</w:t>
            </w:r>
            <w:r w:rsidR="00F23710" w:rsidRPr="004E0C74">
              <w:rPr>
                <w:sz w:val="22"/>
                <w:szCs w:val="22"/>
              </w:rPr>
              <w:t xml:space="preserve">n </w:t>
            </w:r>
            <w:r w:rsidRPr="004E0C74">
              <w:rPr>
                <w:sz w:val="22"/>
                <w:szCs w:val="22"/>
              </w:rPr>
              <w:t>annual basis.</w:t>
            </w:r>
          </w:p>
          <w:p w14:paraId="67F64403" w14:textId="77777777" w:rsidR="00E52DED" w:rsidRPr="004E0C74" w:rsidRDefault="00E52DED" w:rsidP="00E52DED">
            <w:pPr>
              <w:spacing w:after="200" w:line="276" w:lineRule="auto"/>
              <w:rPr>
                <w:sz w:val="22"/>
                <w:szCs w:val="22"/>
              </w:rPr>
            </w:pPr>
            <w:r w:rsidRPr="004E0C74">
              <w:rPr>
                <w:sz w:val="22"/>
                <w:szCs w:val="22"/>
              </w:rPr>
              <w:t xml:space="preserve">Any penalties owed to </w:t>
            </w:r>
            <w:r w:rsidRPr="004E0C74">
              <w:rPr>
                <w:color w:val="C00000"/>
                <w:sz w:val="22"/>
                <w:szCs w:val="22"/>
              </w:rPr>
              <w:t>[Company]</w:t>
            </w:r>
            <w:r w:rsidRPr="004E0C74">
              <w:rPr>
                <w:color w:val="ED7D31" w:themeColor="accent2"/>
                <w:sz w:val="22"/>
                <w:szCs w:val="22"/>
              </w:rPr>
              <w:t xml:space="preserve"> </w:t>
            </w:r>
            <w:r w:rsidRPr="004E0C74">
              <w:rPr>
                <w:sz w:val="22"/>
                <w:szCs w:val="22"/>
              </w:rPr>
              <w:t xml:space="preserve">shall be paid out on an annual basis. </w:t>
            </w:r>
          </w:p>
          <w:p w14:paraId="6D9C032D" w14:textId="41F56972" w:rsidR="00781B26" w:rsidRPr="004E0C74" w:rsidRDefault="00F23710" w:rsidP="00E52DED">
            <w:pPr>
              <w:spacing w:after="200" w:line="276" w:lineRule="auto"/>
              <w:rPr>
                <w:sz w:val="22"/>
                <w:szCs w:val="22"/>
              </w:rPr>
            </w:pPr>
            <w:r w:rsidRPr="004E0C74">
              <w:rPr>
                <w:sz w:val="22"/>
                <w:szCs w:val="22"/>
              </w:rPr>
              <w:t xml:space="preserve">Administrator shall report results within 120 calendar days after the Plan Year.  </w:t>
            </w:r>
          </w:p>
        </w:tc>
        <w:tc>
          <w:tcPr>
            <w:tcW w:w="2235" w:type="dxa"/>
          </w:tcPr>
          <w:p w14:paraId="1532B842" w14:textId="77777777" w:rsidR="00E52DED" w:rsidRPr="004E0C74" w:rsidRDefault="00E52DED" w:rsidP="00E52DED">
            <w:pPr>
              <w:spacing w:after="200" w:line="276" w:lineRule="auto"/>
              <w:rPr>
                <w:sz w:val="22"/>
                <w:szCs w:val="22"/>
              </w:rPr>
            </w:pPr>
            <w:r w:rsidRPr="004E0C74">
              <w:rPr>
                <w:color w:val="C00000"/>
                <w:sz w:val="22"/>
                <w:szCs w:val="22"/>
              </w:rPr>
              <w:t>X</w:t>
            </w:r>
            <w:r w:rsidRPr="004E0C74">
              <w:rPr>
                <w:sz w:val="22"/>
                <w:szCs w:val="22"/>
              </w:rPr>
              <w:t>% of Medical Administration Services Only (ASO) Fees at Risk</w:t>
            </w:r>
          </w:p>
          <w:p w14:paraId="55D36676" w14:textId="77777777" w:rsidR="00E52DED" w:rsidRPr="004E0C74" w:rsidRDefault="00E52DED" w:rsidP="00E52DED">
            <w:pPr>
              <w:spacing w:after="200" w:line="276" w:lineRule="auto"/>
              <w:rPr>
                <w:sz w:val="22"/>
                <w:szCs w:val="22"/>
              </w:rPr>
            </w:pPr>
          </w:p>
        </w:tc>
      </w:tr>
    </w:tbl>
    <w:p w14:paraId="0CAA1013" w14:textId="77777777" w:rsidR="00E52DED" w:rsidRPr="004E0C74" w:rsidRDefault="00E52DED" w:rsidP="00E52DED">
      <w:pPr>
        <w:rPr>
          <w:sz w:val="22"/>
          <w:szCs w:val="22"/>
        </w:rPr>
      </w:pPr>
    </w:p>
    <w:p w14:paraId="2ED163BF" w14:textId="77777777" w:rsidR="00781B26" w:rsidRPr="004E0C74" w:rsidRDefault="00781B26" w:rsidP="002440FD">
      <w:pPr>
        <w:pStyle w:val="ListParagraph"/>
        <w:spacing w:after="200" w:line="276" w:lineRule="auto"/>
        <w:rPr>
          <w:b/>
          <w:sz w:val="22"/>
          <w:szCs w:val="22"/>
        </w:rPr>
      </w:pPr>
    </w:p>
    <w:p w14:paraId="2715D817" w14:textId="71C8CD88" w:rsidR="00DB0C76" w:rsidRPr="004E0C74" w:rsidRDefault="00DB0C76" w:rsidP="00DB0C76">
      <w:pPr>
        <w:pStyle w:val="ListParagraph"/>
        <w:numPr>
          <w:ilvl w:val="0"/>
          <w:numId w:val="3"/>
        </w:numPr>
        <w:spacing w:after="200" w:line="276" w:lineRule="auto"/>
        <w:rPr>
          <w:b/>
          <w:sz w:val="22"/>
          <w:szCs w:val="22"/>
        </w:rPr>
      </w:pPr>
      <w:r w:rsidRPr="004E0C74">
        <w:rPr>
          <w:b/>
          <w:sz w:val="22"/>
          <w:szCs w:val="22"/>
        </w:rPr>
        <w:t xml:space="preserve">Patient </w:t>
      </w:r>
      <w:r w:rsidR="0053134D" w:rsidRPr="004E0C74">
        <w:rPr>
          <w:b/>
          <w:sz w:val="22"/>
          <w:szCs w:val="22"/>
        </w:rPr>
        <w:t xml:space="preserve">Reported </w:t>
      </w:r>
      <w:r w:rsidR="00E466F1" w:rsidRPr="004E0C74">
        <w:rPr>
          <w:b/>
          <w:sz w:val="22"/>
          <w:szCs w:val="22"/>
        </w:rPr>
        <w:t xml:space="preserve">Experience of Care </w:t>
      </w:r>
    </w:p>
    <w:p w14:paraId="5C393B4C" w14:textId="3C8A9D5F" w:rsidR="00DB0C76" w:rsidRPr="004E0C74" w:rsidRDefault="00DB0C76" w:rsidP="00DB0C76">
      <w:pPr>
        <w:spacing w:after="200" w:line="276" w:lineRule="auto"/>
        <w:ind w:left="360"/>
        <w:rPr>
          <w:color w:val="FF0000"/>
          <w:sz w:val="22"/>
          <w:szCs w:val="22"/>
        </w:rPr>
      </w:pPr>
      <w:r w:rsidRPr="004E0C74">
        <w:rPr>
          <w:sz w:val="22"/>
          <w:szCs w:val="22"/>
        </w:rPr>
        <w:t xml:space="preserve">Rationale:  In discussions with Administrators, CPR has learned that </w:t>
      </w:r>
      <w:r w:rsidR="004723D2">
        <w:rPr>
          <w:sz w:val="22"/>
          <w:szCs w:val="22"/>
        </w:rPr>
        <w:t xml:space="preserve">it is not yet widespread that </w:t>
      </w:r>
      <w:r w:rsidR="00E466F1" w:rsidRPr="004E0C74">
        <w:rPr>
          <w:sz w:val="22"/>
          <w:szCs w:val="22"/>
        </w:rPr>
        <w:t xml:space="preserve">they measure </w:t>
      </w:r>
      <w:r w:rsidRPr="004E0C74">
        <w:rPr>
          <w:sz w:val="22"/>
          <w:szCs w:val="22"/>
        </w:rPr>
        <w:t xml:space="preserve">patient </w:t>
      </w:r>
      <w:r w:rsidR="00E466F1" w:rsidRPr="004E0C74">
        <w:rPr>
          <w:sz w:val="22"/>
          <w:szCs w:val="22"/>
        </w:rPr>
        <w:t xml:space="preserve">experience of care </w:t>
      </w:r>
      <w:r w:rsidRPr="004E0C74">
        <w:rPr>
          <w:sz w:val="22"/>
          <w:szCs w:val="22"/>
        </w:rPr>
        <w:t xml:space="preserve">as </w:t>
      </w:r>
      <w:r w:rsidR="00E466F1" w:rsidRPr="004E0C74">
        <w:rPr>
          <w:sz w:val="22"/>
          <w:szCs w:val="22"/>
        </w:rPr>
        <w:t xml:space="preserve">part of assessing </w:t>
      </w:r>
      <w:r w:rsidRPr="004E0C74">
        <w:rPr>
          <w:sz w:val="22"/>
          <w:szCs w:val="22"/>
        </w:rPr>
        <w:t xml:space="preserve">ACO performance.  </w:t>
      </w:r>
      <w:r w:rsidR="00CF5F68" w:rsidRPr="004E0C74">
        <w:rPr>
          <w:sz w:val="22"/>
          <w:szCs w:val="22"/>
        </w:rPr>
        <w:t xml:space="preserve">CPR’s hope is that </w:t>
      </w:r>
      <w:r w:rsidR="00E466F1" w:rsidRPr="004E0C74">
        <w:rPr>
          <w:sz w:val="22"/>
          <w:szCs w:val="22"/>
        </w:rPr>
        <w:t xml:space="preserve">use of these measures becomes an </w:t>
      </w:r>
      <w:r w:rsidR="00CF5F68" w:rsidRPr="004E0C74">
        <w:rPr>
          <w:sz w:val="22"/>
          <w:szCs w:val="22"/>
        </w:rPr>
        <w:t>industry standard</w:t>
      </w:r>
      <w:r w:rsidR="00E466F1" w:rsidRPr="004E0C74">
        <w:rPr>
          <w:sz w:val="22"/>
          <w:szCs w:val="22"/>
        </w:rPr>
        <w:t>.  U</w:t>
      </w:r>
      <w:r w:rsidR="00CF5F68" w:rsidRPr="004E0C74">
        <w:rPr>
          <w:sz w:val="22"/>
          <w:szCs w:val="22"/>
        </w:rPr>
        <w:t xml:space="preserve">ntil </w:t>
      </w:r>
      <w:r w:rsidR="00957A49" w:rsidRPr="004E0C74">
        <w:rPr>
          <w:sz w:val="22"/>
          <w:szCs w:val="22"/>
        </w:rPr>
        <w:t>then</w:t>
      </w:r>
      <w:r w:rsidR="00CF5F68" w:rsidRPr="004E0C74">
        <w:rPr>
          <w:sz w:val="22"/>
          <w:szCs w:val="22"/>
        </w:rPr>
        <w:t xml:space="preserve">, </w:t>
      </w:r>
      <w:r w:rsidRPr="004E0C74">
        <w:rPr>
          <w:sz w:val="22"/>
          <w:szCs w:val="22"/>
        </w:rPr>
        <w:t xml:space="preserve">CPR recommends that employer-purchasers </w:t>
      </w:r>
      <w:r w:rsidR="00D85ED4" w:rsidRPr="004E0C74">
        <w:rPr>
          <w:sz w:val="22"/>
          <w:szCs w:val="22"/>
        </w:rPr>
        <w:t xml:space="preserve">require </w:t>
      </w:r>
      <w:r w:rsidRPr="004E0C74">
        <w:rPr>
          <w:sz w:val="22"/>
          <w:szCs w:val="22"/>
        </w:rPr>
        <w:t xml:space="preserve">Administrators </w:t>
      </w:r>
      <w:r w:rsidR="00D85ED4" w:rsidRPr="004E0C74">
        <w:rPr>
          <w:sz w:val="22"/>
          <w:szCs w:val="22"/>
        </w:rPr>
        <w:t xml:space="preserve">to measure </w:t>
      </w:r>
      <w:r w:rsidR="00E466F1" w:rsidRPr="004E0C74">
        <w:rPr>
          <w:sz w:val="22"/>
          <w:szCs w:val="22"/>
        </w:rPr>
        <w:t>patient experience of care</w:t>
      </w:r>
      <w:r w:rsidR="00CF5F68" w:rsidRPr="00A95D82">
        <w:rPr>
          <w:color w:val="333F48"/>
          <w:sz w:val="22"/>
          <w:szCs w:val="22"/>
        </w:rPr>
        <w:t>.</w:t>
      </w:r>
      <w:r w:rsidRPr="004E0C74">
        <w:rPr>
          <w:color w:val="FF0000"/>
          <w:sz w:val="22"/>
          <w:szCs w:val="22"/>
        </w:rPr>
        <w:t xml:space="preserve"> </w:t>
      </w:r>
    </w:p>
    <w:p w14:paraId="1BC7B6E4" w14:textId="77777777" w:rsidR="006D7902" w:rsidRPr="004E0C74" w:rsidRDefault="006D7902" w:rsidP="006D7902">
      <w:pPr>
        <w:pStyle w:val="ListParagraph"/>
        <w:numPr>
          <w:ilvl w:val="0"/>
          <w:numId w:val="16"/>
        </w:numPr>
        <w:spacing w:after="200" w:line="276" w:lineRule="auto"/>
        <w:rPr>
          <w:b/>
          <w:sz w:val="22"/>
          <w:szCs w:val="22"/>
        </w:rPr>
      </w:pPr>
      <w:r w:rsidRPr="004E0C74">
        <w:rPr>
          <w:b/>
          <w:sz w:val="22"/>
          <w:szCs w:val="22"/>
        </w:rPr>
        <w:t>Use of CAHPS ACO-9 Survey for Accountable Care Organizations</w:t>
      </w:r>
    </w:p>
    <w:tbl>
      <w:tblPr>
        <w:tblStyle w:val="TableGrid"/>
        <w:tblW w:w="5000" w:type="pct"/>
        <w:tblInd w:w="360" w:type="dxa"/>
        <w:tblLook w:val="04A0" w:firstRow="1" w:lastRow="0" w:firstColumn="1" w:lastColumn="0" w:noHBand="0" w:noVBand="1"/>
      </w:tblPr>
      <w:tblGrid>
        <w:gridCol w:w="2474"/>
        <w:gridCol w:w="2523"/>
        <w:gridCol w:w="2176"/>
        <w:gridCol w:w="2177"/>
      </w:tblGrid>
      <w:tr w:rsidR="006D7902" w:rsidRPr="004E0C74" w14:paraId="0E158BBA" w14:textId="77777777" w:rsidTr="00234D08">
        <w:tc>
          <w:tcPr>
            <w:tcW w:w="2474" w:type="dxa"/>
            <w:shd w:val="clear" w:color="auto" w:fill="D9D9D9" w:themeFill="background1" w:themeFillShade="D9"/>
          </w:tcPr>
          <w:p w14:paraId="57BFF988" w14:textId="77777777" w:rsidR="006D7902" w:rsidRPr="004E0C74" w:rsidRDefault="006D7902" w:rsidP="00234D08">
            <w:pPr>
              <w:spacing w:after="200" w:line="276" w:lineRule="auto"/>
              <w:jc w:val="center"/>
              <w:rPr>
                <w:b/>
                <w:sz w:val="22"/>
                <w:szCs w:val="22"/>
              </w:rPr>
            </w:pPr>
            <w:r w:rsidRPr="004E0C74">
              <w:rPr>
                <w:b/>
                <w:sz w:val="22"/>
                <w:szCs w:val="22"/>
              </w:rPr>
              <w:t>PG Objective</w:t>
            </w:r>
          </w:p>
        </w:tc>
        <w:tc>
          <w:tcPr>
            <w:tcW w:w="2523" w:type="dxa"/>
            <w:shd w:val="clear" w:color="auto" w:fill="D9D9D9" w:themeFill="background1" w:themeFillShade="D9"/>
          </w:tcPr>
          <w:p w14:paraId="7AD4B2CA" w14:textId="77777777" w:rsidR="006D7902" w:rsidRPr="004E0C74" w:rsidRDefault="006D7902" w:rsidP="00234D08">
            <w:pPr>
              <w:spacing w:after="200" w:line="276" w:lineRule="auto"/>
              <w:jc w:val="center"/>
              <w:rPr>
                <w:b/>
                <w:sz w:val="22"/>
                <w:szCs w:val="22"/>
              </w:rPr>
            </w:pPr>
            <w:r w:rsidRPr="004E0C74">
              <w:rPr>
                <w:b/>
                <w:sz w:val="22"/>
                <w:szCs w:val="22"/>
              </w:rPr>
              <w:t>PG Measurement</w:t>
            </w:r>
          </w:p>
        </w:tc>
        <w:tc>
          <w:tcPr>
            <w:tcW w:w="2176" w:type="dxa"/>
            <w:shd w:val="clear" w:color="auto" w:fill="D9D9D9" w:themeFill="background1" w:themeFillShade="D9"/>
          </w:tcPr>
          <w:p w14:paraId="4CDBEE29" w14:textId="77777777" w:rsidR="006D7902" w:rsidRPr="004E0C74" w:rsidRDefault="006D7902" w:rsidP="00234D08">
            <w:pPr>
              <w:spacing w:after="200" w:line="276" w:lineRule="auto"/>
              <w:jc w:val="center"/>
              <w:rPr>
                <w:b/>
                <w:sz w:val="22"/>
                <w:szCs w:val="22"/>
              </w:rPr>
            </w:pPr>
            <w:r w:rsidRPr="004E0C74">
              <w:rPr>
                <w:b/>
                <w:sz w:val="22"/>
                <w:szCs w:val="22"/>
              </w:rPr>
              <w:t>Measurement and Reporting Period</w:t>
            </w:r>
          </w:p>
        </w:tc>
        <w:tc>
          <w:tcPr>
            <w:tcW w:w="2177" w:type="dxa"/>
            <w:shd w:val="clear" w:color="auto" w:fill="D9D9D9" w:themeFill="background1" w:themeFillShade="D9"/>
          </w:tcPr>
          <w:p w14:paraId="2C4C819F" w14:textId="77777777" w:rsidR="006D7902" w:rsidRPr="004E0C74" w:rsidRDefault="006D7902" w:rsidP="00234D08">
            <w:pPr>
              <w:spacing w:after="200" w:line="276" w:lineRule="auto"/>
              <w:jc w:val="center"/>
              <w:rPr>
                <w:b/>
                <w:sz w:val="22"/>
                <w:szCs w:val="22"/>
              </w:rPr>
            </w:pPr>
            <w:r w:rsidRPr="004E0C74">
              <w:rPr>
                <w:b/>
                <w:sz w:val="22"/>
                <w:szCs w:val="22"/>
              </w:rPr>
              <w:t>% of Fees At Risk</w:t>
            </w:r>
          </w:p>
        </w:tc>
      </w:tr>
      <w:tr w:rsidR="006D7902" w:rsidRPr="004E0C74" w14:paraId="24F04CE0" w14:textId="77777777" w:rsidTr="00234D08">
        <w:tc>
          <w:tcPr>
            <w:tcW w:w="2474" w:type="dxa"/>
          </w:tcPr>
          <w:p w14:paraId="6B9E25AD" w14:textId="77777777" w:rsidR="006D7902" w:rsidRPr="004E0C74" w:rsidRDefault="006D7902" w:rsidP="00234D08">
            <w:pPr>
              <w:spacing w:after="200" w:line="276" w:lineRule="auto"/>
              <w:rPr>
                <w:sz w:val="22"/>
                <w:szCs w:val="22"/>
              </w:rPr>
            </w:pPr>
            <w:r w:rsidRPr="004E0C74">
              <w:rPr>
                <w:sz w:val="22"/>
                <w:szCs w:val="22"/>
              </w:rPr>
              <w:t xml:space="preserve">Administrator will either require the ACO to send or will itself directly send CAHPS ACO-9 Survey to </w:t>
            </w:r>
            <w:r w:rsidRPr="004E0C74">
              <w:rPr>
                <w:color w:val="C00000"/>
                <w:sz w:val="22"/>
                <w:szCs w:val="22"/>
              </w:rPr>
              <w:t>X</w:t>
            </w:r>
            <w:r w:rsidRPr="004E0C74">
              <w:rPr>
                <w:sz w:val="22"/>
                <w:szCs w:val="22"/>
              </w:rPr>
              <w:t>% of Plan Participants who received care from an ACO.</w:t>
            </w:r>
          </w:p>
        </w:tc>
        <w:tc>
          <w:tcPr>
            <w:tcW w:w="2523" w:type="dxa"/>
          </w:tcPr>
          <w:p w14:paraId="2D184626" w14:textId="77777777" w:rsidR="006D7902" w:rsidRPr="004E0C74" w:rsidRDefault="006D7902" w:rsidP="00234D08">
            <w:pPr>
              <w:spacing w:after="200" w:line="276" w:lineRule="auto"/>
              <w:rPr>
                <w:sz w:val="22"/>
                <w:szCs w:val="22"/>
              </w:rPr>
            </w:pPr>
            <w:r w:rsidRPr="004E0C74">
              <w:rPr>
                <w:sz w:val="22"/>
                <w:szCs w:val="22"/>
              </w:rPr>
              <w:t>Numerator:  Number of Plan Participants who received the CAHPS ACO-9 Survey from the ACO or Administrator.</w:t>
            </w:r>
          </w:p>
          <w:p w14:paraId="1747F3A7" w14:textId="77777777" w:rsidR="006D7902" w:rsidRPr="004E0C74" w:rsidRDefault="006D7902" w:rsidP="00234D08">
            <w:pPr>
              <w:spacing w:after="200" w:line="276" w:lineRule="auto"/>
              <w:rPr>
                <w:sz w:val="22"/>
                <w:szCs w:val="22"/>
              </w:rPr>
            </w:pPr>
            <w:r w:rsidRPr="004E0C74">
              <w:rPr>
                <w:sz w:val="22"/>
                <w:szCs w:val="22"/>
              </w:rPr>
              <w:t xml:space="preserve">Denominator:  Number of Plan Participants who received care at an ACO provider.  </w:t>
            </w:r>
          </w:p>
        </w:tc>
        <w:tc>
          <w:tcPr>
            <w:tcW w:w="2176" w:type="dxa"/>
          </w:tcPr>
          <w:p w14:paraId="3E5B0AF6" w14:textId="77777777" w:rsidR="006D7902" w:rsidRPr="004E0C74" w:rsidRDefault="006D7902" w:rsidP="00234D08">
            <w:pPr>
              <w:spacing w:after="200" w:line="276" w:lineRule="auto"/>
              <w:rPr>
                <w:sz w:val="22"/>
                <w:szCs w:val="22"/>
              </w:rPr>
            </w:pPr>
            <w:r w:rsidRPr="004E0C74">
              <w:rPr>
                <w:sz w:val="22"/>
                <w:szCs w:val="22"/>
              </w:rPr>
              <w:t xml:space="preserve">Results reported on </w:t>
            </w:r>
            <w:proofErr w:type="spellStart"/>
            <w:r w:rsidRPr="004E0C74">
              <w:rPr>
                <w:sz w:val="22"/>
                <w:szCs w:val="22"/>
              </w:rPr>
              <w:t>a</w:t>
            </w:r>
            <w:proofErr w:type="spellEnd"/>
            <w:r w:rsidRPr="004E0C74">
              <w:rPr>
                <w:sz w:val="22"/>
                <w:szCs w:val="22"/>
              </w:rPr>
              <w:t xml:space="preserve"> </w:t>
            </w:r>
            <w:r w:rsidRPr="003C4165">
              <w:rPr>
                <w:color w:val="C00000"/>
                <w:sz w:val="22"/>
                <w:szCs w:val="22"/>
              </w:rPr>
              <w:t xml:space="preserve">[annual/biannual] </w:t>
            </w:r>
            <w:r w:rsidRPr="004E0C74">
              <w:rPr>
                <w:sz w:val="22"/>
                <w:szCs w:val="22"/>
              </w:rPr>
              <w:t>basis.</w:t>
            </w:r>
          </w:p>
          <w:p w14:paraId="45C0492C" w14:textId="77777777" w:rsidR="006D7902" w:rsidRPr="004E0C74" w:rsidRDefault="006D7902" w:rsidP="00234D08">
            <w:pPr>
              <w:spacing w:after="200" w:line="276" w:lineRule="auto"/>
              <w:rPr>
                <w:sz w:val="22"/>
                <w:szCs w:val="22"/>
              </w:rPr>
            </w:pPr>
            <w:r w:rsidRPr="004E0C74">
              <w:rPr>
                <w:sz w:val="22"/>
                <w:szCs w:val="22"/>
              </w:rPr>
              <w:t xml:space="preserve">Any penalties owed to </w:t>
            </w:r>
            <w:r w:rsidRPr="004E0C74">
              <w:rPr>
                <w:color w:val="C00000"/>
                <w:sz w:val="22"/>
                <w:szCs w:val="22"/>
              </w:rPr>
              <w:t xml:space="preserve">[Company] </w:t>
            </w:r>
            <w:r w:rsidRPr="004E0C74">
              <w:rPr>
                <w:sz w:val="22"/>
                <w:szCs w:val="22"/>
              </w:rPr>
              <w:t xml:space="preserve">shall be paid out on </w:t>
            </w:r>
            <w:r w:rsidRPr="008D78CE">
              <w:rPr>
                <w:color w:val="000000" w:themeColor="text1"/>
                <w:sz w:val="22"/>
                <w:szCs w:val="22"/>
              </w:rPr>
              <w:t xml:space="preserve">an annual </w:t>
            </w:r>
            <w:r w:rsidRPr="004E0C74">
              <w:rPr>
                <w:sz w:val="22"/>
                <w:szCs w:val="22"/>
              </w:rPr>
              <w:t xml:space="preserve">basis. </w:t>
            </w:r>
          </w:p>
          <w:p w14:paraId="7CC3F399" w14:textId="77777777" w:rsidR="006D7902" w:rsidRPr="004E0C74" w:rsidRDefault="006D7902" w:rsidP="00234D08">
            <w:pPr>
              <w:spacing w:after="200" w:line="276" w:lineRule="auto"/>
              <w:rPr>
                <w:sz w:val="22"/>
                <w:szCs w:val="22"/>
              </w:rPr>
            </w:pPr>
            <w:r w:rsidRPr="004E0C74">
              <w:rPr>
                <w:sz w:val="22"/>
                <w:szCs w:val="22"/>
              </w:rPr>
              <w:t>Administrator shall report results within 60 calendar days after the Measurement Period.</w:t>
            </w:r>
          </w:p>
        </w:tc>
        <w:tc>
          <w:tcPr>
            <w:tcW w:w="2177" w:type="dxa"/>
          </w:tcPr>
          <w:p w14:paraId="046533E4" w14:textId="77777777" w:rsidR="006D7902" w:rsidRPr="004E0C74" w:rsidRDefault="006D7902" w:rsidP="00234D08">
            <w:pPr>
              <w:spacing w:after="200" w:line="276" w:lineRule="auto"/>
              <w:rPr>
                <w:sz w:val="22"/>
                <w:szCs w:val="22"/>
              </w:rPr>
            </w:pPr>
            <w:r w:rsidRPr="004E0C74">
              <w:rPr>
                <w:color w:val="C00000"/>
                <w:sz w:val="22"/>
                <w:szCs w:val="22"/>
              </w:rPr>
              <w:t>X</w:t>
            </w:r>
            <w:r w:rsidRPr="004E0C74">
              <w:rPr>
                <w:sz w:val="22"/>
                <w:szCs w:val="22"/>
              </w:rPr>
              <w:t>% of Medical Administration Services Only (ASO) Fees at Risk</w:t>
            </w:r>
          </w:p>
          <w:p w14:paraId="39845652" w14:textId="77777777" w:rsidR="006D7902" w:rsidRPr="004E0C74" w:rsidRDefault="006D7902" w:rsidP="00234D08">
            <w:pPr>
              <w:spacing w:after="200" w:line="276" w:lineRule="auto"/>
              <w:rPr>
                <w:sz w:val="22"/>
                <w:szCs w:val="22"/>
              </w:rPr>
            </w:pPr>
          </w:p>
        </w:tc>
      </w:tr>
    </w:tbl>
    <w:p w14:paraId="31C1F2FC" w14:textId="77777777" w:rsidR="006D7902" w:rsidRDefault="006D7902" w:rsidP="006D7902">
      <w:pPr>
        <w:rPr>
          <w:b/>
          <w:sz w:val="22"/>
          <w:szCs w:val="22"/>
        </w:rPr>
      </w:pPr>
    </w:p>
    <w:p w14:paraId="78937D91" w14:textId="77777777" w:rsidR="006D7902" w:rsidRPr="004E0C74" w:rsidRDefault="006D7902" w:rsidP="006D7902">
      <w:pPr>
        <w:pStyle w:val="ListParagraph"/>
        <w:numPr>
          <w:ilvl w:val="0"/>
          <w:numId w:val="16"/>
        </w:numPr>
        <w:spacing w:after="200" w:line="276" w:lineRule="auto"/>
        <w:rPr>
          <w:b/>
          <w:sz w:val="22"/>
          <w:szCs w:val="22"/>
        </w:rPr>
      </w:pPr>
      <w:r w:rsidRPr="004E0C74">
        <w:rPr>
          <w:b/>
          <w:sz w:val="22"/>
          <w:szCs w:val="22"/>
        </w:rPr>
        <w:t>Results of CAHPS ACO-9 Survey for Accountable Care Organizations</w:t>
      </w:r>
    </w:p>
    <w:tbl>
      <w:tblPr>
        <w:tblStyle w:val="TableGrid"/>
        <w:tblW w:w="5000" w:type="pct"/>
        <w:tblInd w:w="360" w:type="dxa"/>
        <w:tblLook w:val="04A0" w:firstRow="1" w:lastRow="0" w:firstColumn="1" w:lastColumn="0" w:noHBand="0" w:noVBand="1"/>
      </w:tblPr>
      <w:tblGrid>
        <w:gridCol w:w="2474"/>
        <w:gridCol w:w="2523"/>
        <w:gridCol w:w="2176"/>
        <w:gridCol w:w="2177"/>
      </w:tblGrid>
      <w:tr w:rsidR="006D7902" w:rsidRPr="004E0C74" w14:paraId="74A4D2EE" w14:textId="77777777" w:rsidTr="00234D08">
        <w:tc>
          <w:tcPr>
            <w:tcW w:w="2474" w:type="dxa"/>
            <w:shd w:val="clear" w:color="auto" w:fill="D9D9D9" w:themeFill="background1" w:themeFillShade="D9"/>
          </w:tcPr>
          <w:p w14:paraId="4D452394" w14:textId="77777777" w:rsidR="006D7902" w:rsidRPr="004E0C74" w:rsidRDefault="006D7902" w:rsidP="00234D08">
            <w:pPr>
              <w:spacing w:after="200" w:line="276" w:lineRule="auto"/>
              <w:jc w:val="center"/>
              <w:rPr>
                <w:b/>
                <w:sz w:val="22"/>
                <w:szCs w:val="22"/>
              </w:rPr>
            </w:pPr>
            <w:r w:rsidRPr="004E0C74">
              <w:rPr>
                <w:b/>
                <w:sz w:val="22"/>
                <w:szCs w:val="22"/>
              </w:rPr>
              <w:t>PG Objective</w:t>
            </w:r>
          </w:p>
        </w:tc>
        <w:tc>
          <w:tcPr>
            <w:tcW w:w="2523" w:type="dxa"/>
            <w:shd w:val="clear" w:color="auto" w:fill="D9D9D9" w:themeFill="background1" w:themeFillShade="D9"/>
          </w:tcPr>
          <w:p w14:paraId="7072C100" w14:textId="77777777" w:rsidR="006D7902" w:rsidRPr="004E0C74" w:rsidRDefault="006D7902" w:rsidP="00234D08">
            <w:pPr>
              <w:spacing w:after="200" w:line="276" w:lineRule="auto"/>
              <w:jc w:val="center"/>
              <w:rPr>
                <w:b/>
                <w:sz w:val="22"/>
                <w:szCs w:val="22"/>
              </w:rPr>
            </w:pPr>
            <w:r w:rsidRPr="004E0C74">
              <w:rPr>
                <w:b/>
                <w:sz w:val="22"/>
                <w:szCs w:val="22"/>
              </w:rPr>
              <w:t>PG Measurement</w:t>
            </w:r>
          </w:p>
        </w:tc>
        <w:tc>
          <w:tcPr>
            <w:tcW w:w="2176" w:type="dxa"/>
            <w:shd w:val="clear" w:color="auto" w:fill="D9D9D9" w:themeFill="background1" w:themeFillShade="D9"/>
          </w:tcPr>
          <w:p w14:paraId="7D630DD7" w14:textId="77777777" w:rsidR="006D7902" w:rsidRPr="004E0C74" w:rsidRDefault="006D7902" w:rsidP="00234D08">
            <w:pPr>
              <w:spacing w:after="200" w:line="276" w:lineRule="auto"/>
              <w:jc w:val="center"/>
              <w:rPr>
                <w:b/>
                <w:sz w:val="22"/>
                <w:szCs w:val="22"/>
              </w:rPr>
            </w:pPr>
            <w:r w:rsidRPr="004E0C74">
              <w:rPr>
                <w:b/>
                <w:sz w:val="22"/>
                <w:szCs w:val="22"/>
              </w:rPr>
              <w:t>Measurement and Reporting Period</w:t>
            </w:r>
          </w:p>
        </w:tc>
        <w:tc>
          <w:tcPr>
            <w:tcW w:w="2177" w:type="dxa"/>
            <w:shd w:val="clear" w:color="auto" w:fill="D9D9D9" w:themeFill="background1" w:themeFillShade="D9"/>
          </w:tcPr>
          <w:p w14:paraId="5C16E039" w14:textId="77777777" w:rsidR="006D7902" w:rsidRPr="004E0C74" w:rsidRDefault="006D7902" w:rsidP="00234D08">
            <w:pPr>
              <w:spacing w:after="200" w:line="276" w:lineRule="auto"/>
              <w:jc w:val="center"/>
              <w:rPr>
                <w:b/>
                <w:sz w:val="22"/>
                <w:szCs w:val="22"/>
              </w:rPr>
            </w:pPr>
            <w:r w:rsidRPr="004E0C74">
              <w:rPr>
                <w:b/>
                <w:sz w:val="22"/>
                <w:szCs w:val="22"/>
              </w:rPr>
              <w:t>% of Fees At Risk</w:t>
            </w:r>
          </w:p>
        </w:tc>
      </w:tr>
      <w:tr w:rsidR="006D7902" w:rsidRPr="004E0C74" w14:paraId="77A33284" w14:textId="77777777" w:rsidTr="00234D08">
        <w:tc>
          <w:tcPr>
            <w:tcW w:w="2474" w:type="dxa"/>
          </w:tcPr>
          <w:p w14:paraId="723CE7B3" w14:textId="77777777" w:rsidR="006D7902" w:rsidRPr="004E0C74" w:rsidRDefault="006D7902" w:rsidP="00234D08">
            <w:pPr>
              <w:spacing w:after="200" w:line="276" w:lineRule="auto"/>
              <w:rPr>
                <w:sz w:val="22"/>
                <w:szCs w:val="22"/>
              </w:rPr>
            </w:pPr>
            <w:r w:rsidRPr="004E0C74">
              <w:rPr>
                <w:sz w:val="22"/>
                <w:szCs w:val="22"/>
              </w:rPr>
              <w:t xml:space="preserve">At least </w:t>
            </w:r>
            <w:r w:rsidRPr="004E0C74">
              <w:rPr>
                <w:color w:val="C00000"/>
                <w:sz w:val="22"/>
                <w:szCs w:val="22"/>
              </w:rPr>
              <w:t>x</w:t>
            </w:r>
            <w:r w:rsidRPr="004E0C74">
              <w:rPr>
                <w:sz w:val="22"/>
                <w:szCs w:val="22"/>
              </w:rPr>
              <w:t xml:space="preserve">% of Plan Participants who received care from an ACO will report above average experience with </w:t>
            </w:r>
            <w:r w:rsidRPr="004E0C74">
              <w:rPr>
                <w:sz w:val="22"/>
                <w:szCs w:val="22"/>
              </w:rPr>
              <w:lastRenderedPageBreak/>
              <w:t>care in response to the CAHPS ACO-9 Survey.</w:t>
            </w:r>
          </w:p>
        </w:tc>
        <w:tc>
          <w:tcPr>
            <w:tcW w:w="2523" w:type="dxa"/>
          </w:tcPr>
          <w:p w14:paraId="2591A5F4" w14:textId="77777777" w:rsidR="006D7902" w:rsidRPr="004E0C74" w:rsidRDefault="006D7902" w:rsidP="00234D08">
            <w:pPr>
              <w:spacing w:after="200" w:line="276" w:lineRule="auto"/>
              <w:rPr>
                <w:sz w:val="22"/>
                <w:szCs w:val="22"/>
              </w:rPr>
            </w:pPr>
            <w:r w:rsidRPr="004E0C74">
              <w:rPr>
                <w:sz w:val="22"/>
                <w:szCs w:val="22"/>
              </w:rPr>
              <w:lastRenderedPageBreak/>
              <w:t xml:space="preserve">Numerator:  Number of Plan Participants who accessed care at an ACO provider, completed the CAHPS ACO-9 Survey for ACOs, and rated their </w:t>
            </w:r>
            <w:r w:rsidRPr="00757A23">
              <w:rPr>
                <w:sz w:val="22"/>
                <w:szCs w:val="22"/>
              </w:rPr>
              <w:lastRenderedPageBreak/>
              <w:t>experience as above average.</w:t>
            </w:r>
          </w:p>
          <w:p w14:paraId="5F985915" w14:textId="77777777" w:rsidR="006D7902" w:rsidRPr="004E0C74" w:rsidRDefault="006D7902" w:rsidP="00234D08">
            <w:pPr>
              <w:spacing w:after="200" w:line="276" w:lineRule="auto"/>
              <w:rPr>
                <w:sz w:val="22"/>
                <w:szCs w:val="22"/>
              </w:rPr>
            </w:pPr>
            <w:r w:rsidRPr="004E0C74">
              <w:rPr>
                <w:sz w:val="22"/>
                <w:szCs w:val="22"/>
              </w:rPr>
              <w:t xml:space="preserve">Denominator:  Number of Plan Participants who accessed care at an ACO provider and completed the CAHPS ACO-9 Survey for ACOs.  </w:t>
            </w:r>
          </w:p>
        </w:tc>
        <w:tc>
          <w:tcPr>
            <w:tcW w:w="2176" w:type="dxa"/>
          </w:tcPr>
          <w:p w14:paraId="729E537E" w14:textId="77777777" w:rsidR="006D7902" w:rsidRPr="004E0C74" w:rsidRDefault="006D7902" w:rsidP="00234D08">
            <w:pPr>
              <w:spacing w:after="200" w:line="276" w:lineRule="auto"/>
              <w:rPr>
                <w:sz w:val="22"/>
                <w:szCs w:val="22"/>
              </w:rPr>
            </w:pPr>
            <w:r w:rsidRPr="004E0C74">
              <w:rPr>
                <w:sz w:val="22"/>
                <w:szCs w:val="22"/>
              </w:rPr>
              <w:lastRenderedPageBreak/>
              <w:t xml:space="preserve">Results reported on </w:t>
            </w:r>
            <w:proofErr w:type="spellStart"/>
            <w:r w:rsidRPr="004E0C74">
              <w:rPr>
                <w:sz w:val="22"/>
                <w:szCs w:val="22"/>
              </w:rPr>
              <w:t>a</w:t>
            </w:r>
            <w:proofErr w:type="spellEnd"/>
            <w:r w:rsidRPr="004E0C74">
              <w:rPr>
                <w:sz w:val="22"/>
                <w:szCs w:val="22"/>
              </w:rPr>
              <w:t xml:space="preserve"> </w:t>
            </w:r>
            <w:r w:rsidRPr="003C4165">
              <w:rPr>
                <w:color w:val="C00000"/>
                <w:sz w:val="22"/>
                <w:szCs w:val="22"/>
              </w:rPr>
              <w:t xml:space="preserve">[annual/biannual] </w:t>
            </w:r>
            <w:r w:rsidRPr="004E0C74">
              <w:rPr>
                <w:sz w:val="22"/>
                <w:szCs w:val="22"/>
              </w:rPr>
              <w:t>basis.</w:t>
            </w:r>
          </w:p>
          <w:p w14:paraId="3EF5F2F2" w14:textId="77777777" w:rsidR="006D7902" w:rsidRPr="004E0C74" w:rsidRDefault="006D7902" w:rsidP="00234D08">
            <w:pPr>
              <w:spacing w:after="200" w:line="276" w:lineRule="auto"/>
              <w:rPr>
                <w:sz w:val="22"/>
                <w:szCs w:val="22"/>
              </w:rPr>
            </w:pPr>
            <w:r w:rsidRPr="004E0C74">
              <w:rPr>
                <w:sz w:val="22"/>
                <w:szCs w:val="22"/>
              </w:rPr>
              <w:t xml:space="preserve">Any penalties owed to </w:t>
            </w:r>
            <w:r w:rsidRPr="004E0C74">
              <w:rPr>
                <w:color w:val="C00000"/>
                <w:sz w:val="22"/>
                <w:szCs w:val="22"/>
              </w:rPr>
              <w:t>[Company]</w:t>
            </w:r>
            <w:r w:rsidRPr="004E0C74">
              <w:rPr>
                <w:color w:val="ED7D31" w:themeColor="accent2"/>
                <w:sz w:val="22"/>
                <w:szCs w:val="22"/>
              </w:rPr>
              <w:t xml:space="preserve"> </w:t>
            </w:r>
            <w:r w:rsidRPr="004E0C74">
              <w:rPr>
                <w:sz w:val="22"/>
                <w:szCs w:val="22"/>
              </w:rPr>
              <w:t xml:space="preserve">shall be </w:t>
            </w:r>
            <w:r w:rsidRPr="004E0C74">
              <w:rPr>
                <w:sz w:val="22"/>
                <w:szCs w:val="22"/>
              </w:rPr>
              <w:lastRenderedPageBreak/>
              <w:t xml:space="preserve">paid </w:t>
            </w:r>
            <w:r>
              <w:rPr>
                <w:sz w:val="22"/>
                <w:szCs w:val="22"/>
              </w:rPr>
              <w:t>on an</w:t>
            </w:r>
            <w:r w:rsidRPr="004E0C74">
              <w:rPr>
                <w:sz w:val="22"/>
                <w:szCs w:val="22"/>
              </w:rPr>
              <w:t xml:space="preserve"> annual</w:t>
            </w:r>
            <w:r>
              <w:rPr>
                <w:sz w:val="22"/>
                <w:szCs w:val="22"/>
              </w:rPr>
              <w:t xml:space="preserve"> basis</w:t>
            </w:r>
            <w:r w:rsidRPr="004E0C74">
              <w:rPr>
                <w:sz w:val="22"/>
                <w:szCs w:val="22"/>
              </w:rPr>
              <w:t xml:space="preserve">. </w:t>
            </w:r>
          </w:p>
          <w:p w14:paraId="7C761696" w14:textId="77777777" w:rsidR="006D7902" w:rsidRPr="004E0C74" w:rsidRDefault="006D7902" w:rsidP="00234D08">
            <w:pPr>
              <w:spacing w:after="200" w:line="276" w:lineRule="auto"/>
              <w:rPr>
                <w:sz w:val="22"/>
                <w:szCs w:val="22"/>
              </w:rPr>
            </w:pPr>
            <w:r w:rsidRPr="004E0C74">
              <w:rPr>
                <w:sz w:val="22"/>
                <w:szCs w:val="22"/>
              </w:rPr>
              <w:t>Administrator shall report results within 120 calendar days after the Plan Year.</w:t>
            </w:r>
          </w:p>
        </w:tc>
        <w:tc>
          <w:tcPr>
            <w:tcW w:w="2177" w:type="dxa"/>
          </w:tcPr>
          <w:p w14:paraId="594D6F2D" w14:textId="77777777" w:rsidR="006D7902" w:rsidRPr="004E0C74" w:rsidRDefault="006D7902" w:rsidP="00234D08">
            <w:pPr>
              <w:spacing w:after="200" w:line="276" w:lineRule="auto"/>
              <w:rPr>
                <w:sz w:val="22"/>
                <w:szCs w:val="22"/>
              </w:rPr>
            </w:pPr>
            <w:r w:rsidRPr="004E0C74">
              <w:rPr>
                <w:color w:val="C00000"/>
                <w:sz w:val="22"/>
                <w:szCs w:val="22"/>
              </w:rPr>
              <w:lastRenderedPageBreak/>
              <w:t>X</w:t>
            </w:r>
            <w:r w:rsidRPr="004E0C74">
              <w:rPr>
                <w:sz w:val="22"/>
                <w:szCs w:val="22"/>
              </w:rPr>
              <w:t>% of Medical Administration Services Only (ASO) Fees at Risk</w:t>
            </w:r>
          </w:p>
          <w:p w14:paraId="0AAF06C4" w14:textId="77777777" w:rsidR="006D7902" w:rsidRPr="004E0C74" w:rsidRDefault="006D7902" w:rsidP="00234D08">
            <w:pPr>
              <w:spacing w:after="200" w:line="276" w:lineRule="auto"/>
              <w:rPr>
                <w:sz w:val="22"/>
                <w:szCs w:val="22"/>
              </w:rPr>
            </w:pPr>
          </w:p>
        </w:tc>
      </w:tr>
    </w:tbl>
    <w:p w14:paraId="7486A1B1" w14:textId="3313DF4C" w:rsidR="005C5129" w:rsidRDefault="005C5129">
      <w:pPr>
        <w:rPr>
          <w:b/>
          <w:sz w:val="22"/>
          <w:szCs w:val="22"/>
        </w:rPr>
      </w:pPr>
    </w:p>
    <w:p w14:paraId="4D6937C8" w14:textId="77777777" w:rsidR="003C7B14" w:rsidRPr="004E0C74" w:rsidRDefault="003C7B14" w:rsidP="003C7B14">
      <w:pPr>
        <w:pStyle w:val="ListParagraph"/>
        <w:numPr>
          <w:ilvl w:val="0"/>
          <w:numId w:val="3"/>
        </w:numPr>
        <w:spacing w:after="200" w:line="276" w:lineRule="auto"/>
        <w:rPr>
          <w:b/>
          <w:sz w:val="22"/>
          <w:szCs w:val="22"/>
        </w:rPr>
      </w:pPr>
      <w:r w:rsidRPr="004E0C74">
        <w:rPr>
          <w:b/>
          <w:sz w:val="22"/>
          <w:szCs w:val="22"/>
        </w:rPr>
        <w:t xml:space="preserve">ACO Reporting </w:t>
      </w:r>
    </w:p>
    <w:p w14:paraId="588DC600" w14:textId="48F144D9" w:rsidR="003C7B14" w:rsidRPr="004E0C74" w:rsidRDefault="003C7B14" w:rsidP="003C7B14">
      <w:pPr>
        <w:spacing w:after="200" w:line="276" w:lineRule="auto"/>
        <w:ind w:left="360"/>
        <w:rPr>
          <w:sz w:val="22"/>
          <w:szCs w:val="22"/>
        </w:rPr>
      </w:pPr>
      <w:r w:rsidRPr="004E0C74">
        <w:rPr>
          <w:sz w:val="22"/>
          <w:szCs w:val="22"/>
        </w:rPr>
        <w:t xml:space="preserve">Rationale:  Administrators currently provide limited reporting as it relates to their ACO arrangements, including the cost and quality performance as well as utilization metrics.  Catalyst for Payment Reform (CPR) recommends that employer-purchasers adopt the </w:t>
      </w:r>
      <w:r w:rsidR="00200DD3">
        <w:rPr>
          <w:color w:val="0070C0"/>
          <w:sz w:val="22"/>
          <w:szCs w:val="22"/>
          <w:u w:val="single"/>
        </w:rPr>
        <w:t>Standard Plan ACO</w:t>
      </w:r>
      <w:r w:rsidR="004E0C74" w:rsidRPr="00F264E8">
        <w:rPr>
          <w:color w:val="0070C0"/>
          <w:sz w:val="22"/>
          <w:szCs w:val="22"/>
          <w:u w:val="single"/>
        </w:rPr>
        <w:t xml:space="preserve"> Report</w:t>
      </w:r>
      <w:r w:rsidR="004E0C74" w:rsidRPr="004E0C74">
        <w:rPr>
          <w:sz w:val="22"/>
          <w:szCs w:val="22"/>
        </w:rPr>
        <w:t xml:space="preserve"> </w:t>
      </w:r>
      <w:r w:rsidRPr="004E0C74">
        <w:rPr>
          <w:sz w:val="22"/>
          <w:szCs w:val="22"/>
        </w:rPr>
        <w:t>to request ACO performance data from Administrators and insist on a P</w:t>
      </w:r>
      <w:r w:rsidR="0038264A">
        <w:rPr>
          <w:sz w:val="22"/>
          <w:szCs w:val="22"/>
        </w:rPr>
        <w:t xml:space="preserve">erformance </w:t>
      </w:r>
      <w:r w:rsidRPr="004E0C74">
        <w:rPr>
          <w:sz w:val="22"/>
          <w:szCs w:val="22"/>
        </w:rPr>
        <w:t>G</w:t>
      </w:r>
      <w:r w:rsidR="0038264A">
        <w:rPr>
          <w:sz w:val="22"/>
          <w:szCs w:val="22"/>
        </w:rPr>
        <w:t>uarantee</w:t>
      </w:r>
      <w:r w:rsidRPr="004E0C74">
        <w:rPr>
          <w:sz w:val="22"/>
          <w:szCs w:val="22"/>
        </w:rPr>
        <w:t xml:space="preserve"> related to Administrators delivering the completed report in a regular and timely manner.</w:t>
      </w:r>
    </w:p>
    <w:p w14:paraId="51F1DFBE" w14:textId="59A7E617" w:rsidR="003C7B14" w:rsidRPr="004E0C74" w:rsidRDefault="003C7B14" w:rsidP="003C7B14">
      <w:pPr>
        <w:pStyle w:val="ListParagraph"/>
        <w:numPr>
          <w:ilvl w:val="0"/>
          <w:numId w:val="14"/>
        </w:numPr>
        <w:spacing w:after="200" w:line="276" w:lineRule="auto"/>
        <w:rPr>
          <w:b/>
          <w:sz w:val="22"/>
          <w:szCs w:val="22"/>
        </w:rPr>
      </w:pPr>
      <w:r w:rsidRPr="004E0C74">
        <w:rPr>
          <w:b/>
          <w:sz w:val="22"/>
          <w:szCs w:val="22"/>
        </w:rPr>
        <w:t xml:space="preserve">Completion of </w:t>
      </w:r>
      <w:r w:rsidR="00200DD3">
        <w:rPr>
          <w:color w:val="0070C0"/>
          <w:sz w:val="22"/>
          <w:szCs w:val="22"/>
          <w:u w:val="single"/>
        </w:rPr>
        <w:t>Standard Plan ACO</w:t>
      </w:r>
      <w:r w:rsidR="004E0C74" w:rsidRPr="00F264E8">
        <w:rPr>
          <w:color w:val="0070C0"/>
          <w:sz w:val="22"/>
          <w:szCs w:val="22"/>
          <w:u w:val="single"/>
        </w:rPr>
        <w:t xml:space="preserve"> Report</w:t>
      </w:r>
    </w:p>
    <w:tbl>
      <w:tblPr>
        <w:tblStyle w:val="TableGrid"/>
        <w:tblW w:w="5000" w:type="pct"/>
        <w:tblInd w:w="360" w:type="dxa"/>
        <w:tblLook w:val="04A0" w:firstRow="1" w:lastRow="0" w:firstColumn="1" w:lastColumn="0" w:noHBand="0" w:noVBand="1"/>
      </w:tblPr>
      <w:tblGrid>
        <w:gridCol w:w="2498"/>
        <w:gridCol w:w="2501"/>
        <w:gridCol w:w="2191"/>
        <w:gridCol w:w="2160"/>
      </w:tblGrid>
      <w:tr w:rsidR="003C7B14" w:rsidRPr="004E0C74" w14:paraId="6B833A33" w14:textId="77777777" w:rsidTr="004E0C74">
        <w:trPr>
          <w:trHeight w:val="683"/>
        </w:trPr>
        <w:tc>
          <w:tcPr>
            <w:tcW w:w="2633" w:type="dxa"/>
            <w:shd w:val="clear" w:color="auto" w:fill="D9D9D9" w:themeFill="background1" w:themeFillShade="D9"/>
          </w:tcPr>
          <w:p w14:paraId="47214B86" w14:textId="77777777" w:rsidR="003C7B14" w:rsidRPr="004E0C74" w:rsidRDefault="003C7B14" w:rsidP="00D07CF2">
            <w:pPr>
              <w:spacing w:after="200" w:line="276" w:lineRule="auto"/>
              <w:jc w:val="center"/>
              <w:rPr>
                <w:b/>
                <w:sz w:val="22"/>
                <w:szCs w:val="22"/>
              </w:rPr>
            </w:pPr>
            <w:r w:rsidRPr="004E0C74">
              <w:rPr>
                <w:b/>
                <w:sz w:val="22"/>
                <w:szCs w:val="22"/>
              </w:rPr>
              <w:t>PG Objective</w:t>
            </w:r>
          </w:p>
        </w:tc>
        <w:tc>
          <w:tcPr>
            <w:tcW w:w="2631" w:type="dxa"/>
            <w:shd w:val="clear" w:color="auto" w:fill="D9D9D9" w:themeFill="background1" w:themeFillShade="D9"/>
          </w:tcPr>
          <w:p w14:paraId="635B22CD" w14:textId="77777777" w:rsidR="003C7B14" w:rsidRPr="004E0C74" w:rsidRDefault="003C7B14" w:rsidP="00D07CF2">
            <w:pPr>
              <w:spacing w:after="200" w:line="276" w:lineRule="auto"/>
              <w:jc w:val="center"/>
              <w:rPr>
                <w:b/>
                <w:sz w:val="22"/>
                <w:szCs w:val="22"/>
              </w:rPr>
            </w:pPr>
            <w:r w:rsidRPr="004E0C74">
              <w:rPr>
                <w:b/>
                <w:sz w:val="22"/>
                <w:szCs w:val="22"/>
              </w:rPr>
              <w:t>PG Measurement</w:t>
            </w:r>
          </w:p>
        </w:tc>
        <w:tc>
          <w:tcPr>
            <w:tcW w:w="2240" w:type="dxa"/>
            <w:shd w:val="clear" w:color="auto" w:fill="D9D9D9" w:themeFill="background1" w:themeFillShade="D9"/>
          </w:tcPr>
          <w:p w14:paraId="3A530B7C" w14:textId="77777777" w:rsidR="003C7B14" w:rsidRPr="004E0C74" w:rsidRDefault="003C7B14" w:rsidP="00D07CF2">
            <w:pPr>
              <w:spacing w:after="200" w:line="276" w:lineRule="auto"/>
              <w:jc w:val="center"/>
              <w:rPr>
                <w:b/>
                <w:sz w:val="22"/>
                <w:szCs w:val="22"/>
              </w:rPr>
            </w:pPr>
            <w:r w:rsidRPr="004E0C74">
              <w:rPr>
                <w:b/>
                <w:sz w:val="22"/>
                <w:szCs w:val="22"/>
              </w:rPr>
              <w:t>Measurement and Reporting Period</w:t>
            </w:r>
          </w:p>
        </w:tc>
        <w:tc>
          <w:tcPr>
            <w:tcW w:w="2240" w:type="dxa"/>
            <w:shd w:val="clear" w:color="auto" w:fill="D9D9D9" w:themeFill="background1" w:themeFillShade="D9"/>
          </w:tcPr>
          <w:p w14:paraId="1EEC54F0" w14:textId="77777777" w:rsidR="003C7B14" w:rsidRPr="004E0C74" w:rsidRDefault="003C7B14" w:rsidP="00D07CF2">
            <w:pPr>
              <w:spacing w:after="200" w:line="276" w:lineRule="auto"/>
              <w:jc w:val="center"/>
              <w:rPr>
                <w:b/>
                <w:sz w:val="22"/>
                <w:szCs w:val="22"/>
              </w:rPr>
            </w:pPr>
            <w:r w:rsidRPr="004E0C74">
              <w:rPr>
                <w:b/>
                <w:sz w:val="22"/>
                <w:szCs w:val="22"/>
              </w:rPr>
              <w:t>% of Fees At Risk</w:t>
            </w:r>
          </w:p>
        </w:tc>
      </w:tr>
      <w:tr w:rsidR="003C7B14" w:rsidRPr="004E0C74" w14:paraId="5D877D82" w14:textId="77777777" w:rsidTr="00D07CF2">
        <w:tc>
          <w:tcPr>
            <w:tcW w:w="2633" w:type="dxa"/>
          </w:tcPr>
          <w:p w14:paraId="245CAD84" w14:textId="52D1D4D4" w:rsidR="003C7B14" w:rsidRPr="004E0C74" w:rsidRDefault="003C7B14" w:rsidP="00200DD3">
            <w:pPr>
              <w:spacing w:after="200" w:line="276" w:lineRule="auto"/>
              <w:rPr>
                <w:sz w:val="22"/>
                <w:szCs w:val="22"/>
              </w:rPr>
            </w:pPr>
            <w:r w:rsidRPr="004E0C74">
              <w:rPr>
                <w:sz w:val="22"/>
                <w:szCs w:val="22"/>
              </w:rPr>
              <w:t xml:space="preserve">Administrator shall deliver the completed </w:t>
            </w:r>
            <w:r w:rsidR="00200DD3">
              <w:rPr>
                <w:color w:val="0070C0"/>
                <w:sz w:val="22"/>
                <w:szCs w:val="22"/>
                <w:u w:val="single"/>
              </w:rPr>
              <w:t>Standard Plan ACO</w:t>
            </w:r>
            <w:r w:rsidR="004E0C74" w:rsidRPr="00F264E8">
              <w:rPr>
                <w:color w:val="0070C0"/>
                <w:sz w:val="22"/>
                <w:szCs w:val="22"/>
                <w:u w:val="single"/>
              </w:rPr>
              <w:t xml:space="preserve"> Report</w:t>
            </w:r>
            <w:r w:rsidR="004E0C74" w:rsidRPr="004E0C74">
              <w:rPr>
                <w:sz w:val="22"/>
                <w:szCs w:val="22"/>
              </w:rPr>
              <w:t xml:space="preserve"> </w:t>
            </w:r>
            <w:r w:rsidRPr="004E0C74">
              <w:rPr>
                <w:sz w:val="22"/>
                <w:szCs w:val="22"/>
              </w:rPr>
              <w:t xml:space="preserve">to </w:t>
            </w:r>
            <w:r w:rsidRPr="004E0C74">
              <w:rPr>
                <w:color w:val="C00000"/>
                <w:sz w:val="22"/>
                <w:szCs w:val="22"/>
              </w:rPr>
              <w:t>[Company]</w:t>
            </w:r>
            <w:r w:rsidRPr="004E0C74">
              <w:rPr>
                <w:sz w:val="22"/>
                <w:szCs w:val="22"/>
              </w:rPr>
              <w:t xml:space="preserve"> within </w:t>
            </w:r>
            <w:r w:rsidR="00FA3673" w:rsidRPr="004E0C74">
              <w:rPr>
                <w:sz w:val="22"/>
                <w:szCs w:val="22"/>
              </w:rPr>
              <w:t>60</w:t>
            </w:r>
            <w:r w:rsidRPr="004E0C74">
              <w:rPr>
                <w:sz w:val="22"/>
                <w:szCs w:val="22"/>
              </w:rPr>
              <w:t xml:space="preserve"> days of the end of the reporting period</w:t>
            </w:r>
            <w:r w:rsidR="00025A24" w:rsidRPr="004E0C74">
              <w:rPr>
                <w:sz w:val="22"/>
                <w:szCs w:val="22"/>
              </w:rPr>
              <w:t>.</w:t>
            </w:r>
          </w:p>
        </w:tc>
        <w:tc>
          <w:tcPr>
            <w:tcW w:w="2631" w:type="dxa"/>
          </w:tcPr>
          <w:p w14:paraId="12796584" w14:textId="55702EA9" w:rsidR="003C7B14" w:rsidRPr="004E0C74" w:rsidRDefault="003C7B14" w:rsidP="00D07CF2">
            <w:pPr>
              <w:spacing w:after="200" w:line="276" w:lineRule="auto"/>
              <w:rPr>
                <w:sz w:val="22"/>
                <w:szCs w:val="22"/>
              </w:rPr>
            </w:pPr>
            <w:r w:rsidRPr="004E0C74">
              <w:rPr>
                <w:sz w:val="22"/>
                <w:szCs w:val="22"/>
              </w:rPr>
              <w:t>Completed report delivered electronically or in a meetin</w:t>
            </w:r>
            <w:bookmarkStart w:id="0" w:name="_GoBack"/>
            <w:bookmarkEnd w:id="0"/>
            <w:r w:rsidRPr="004E0C74">
              <w:rPr>
                <w:sz w:val="22"/>
                <w:szCs w:val="22"/>
              </w:rPr>
              <w:t xml:space="preserve">g format within </w:t>
            </w:r>
            <w:r w:rsidR="00FA3673" w:rsidRPr="004E0C74">
              <w:rPr>
                <w:sz w:val="22"/>
                <w:szCs w:val="22"/>
              </w:rPr>
              <w:t>6</w:t>
            </w:r>
            <w:r w:rsidRPr="004E0C74">
              <w:rPr>
                <w:sz w:val="22"/>
                <w:szCs w:val="22"/>
              </w:rPr>
              <w:t>0 days of the end of the reportin</w:t>
            </w:r>
            <w:r w:rsidR="004E0C74" w:rsidRPr="004E0C74">
              <w:rPr>
                <w:sz w:val="22"/>
                <w:szCs w:val="22"/>
              </w:rPr>
              <w:t>g</w:t>
            </w:r>
            <w:r w:rsidRPr="004E0C74">
              <w:rPr>
                <w:sz w:val="22"/>
                <w:szCs w:val="22"/>
              </w:rPr>
              <w:t xml:space="preserve"> period.</w:t>
            </w:r>
          </w:p>
        </w:tc>
        <w:tc>
          <w:tcPr>
            <w:tcW w:w="2240" w:type="dxa"/>
          </w:tcPr>
          <w:p w14:paraId="56383425" w14:textId="1EF4B366" w:rsidR="003C7B14" w:rsidRPr="004E0C74" w:rsidRDefault="003C7B14" w:rsidP="00D07CF2">
            <w:pPr>
              <w:spacing w:after="200" w:line="276" w:lineRule="auto"/>
              <w:rPr>
                <w:sz w:val="22"/>
                <w:szCs w:val="22"/>
              </w:rPr>
            </w:pPr>
            <w:r w:rsidRPr="004E0C74">
              <w:rPr>
                <w:sz w:val="22"/>
                <w:szCs w:val="22"/>
              </w:rPr>
              <w:t xml:space="preserve">Results reported on a </w:t>
            </w:r>
            <w:r w:rsidR="00FB296E" w:rsidRPr="003C4165">
              <w:rPr>
                <w:color w:val="C00000"/>
                <w:sz w:val="22"/>
                <w:szCs w:val="22"/>
              </w:rPr>
              <w:t xml:space="preserve">[annual/biannual] </w:t>
            </w:r>
            <w:r w:rsidRPr="004E0C74">
              <w:rPr>
                <w:sz w:val="22"/>
                <w:szCs w:val="22"/>
              </w:rPr>
              <w:t>basis.</w:t>
            </w:r>
          </w:p>
          <w:p w14:paraId="45355C50" w14:textId="709D891E" w:rsidR="003C7B14" w:rsidRPr="004E0C74" w:rsidRDefault="003C7B14" w:rsidP="0038264A">
            <w:pPr>
              <w:spacing w:after="200" w:line="276" w:lineRule="auto"/>
              <w:rPr>
                <w:sz w:val="22"/>
                <w:szCs w:val="22"/>
              </w:rPr>
            </w:pPr>
            <w:r w:rsidRPr="004E0C74">
              <w:rPr>
                <w:sz w:val="22"/>
                <w:szCs w:val="22"/>
              </w:rPr>
              <w:t xml:space="preserve">Any penalties owed to </w:t>
            </w:r>
            <w:r w:rsidRPr="004E0C74">
              <w:rPr>
                <w:color w:val="C00000"/>
                <w:sz w:val="22"/>
                <w:szCs w:val="22"/>
              </w:rPr>
              <w:t>[Company]</w:t>
            </w:r>
            <w:r w:rsidRPr="004E0C74">
              <w:rPr>
                <w:color w:val="ED7D31" w:themeColor="accent2"/>
                <w:sz w:val="22"/>
                <w:szCs w:val="22"/>
              </w:rPr>
              <w:t xml:space="preserve"> </w:t>
            </w:r>
            <w:r w:rsidRPr="004E0C74">
              <w:rPr>
                <w:sz w:val="22"/>
                <w:szCs w:val="22"/>
              </w:rPr>
              <w:t>shall be paid out on a</w:t>
            </w:r>
            <w:r w:rsidR="0038264A">
              <w:rPr>
                <w:sz w:val="22"/>
                <w:szCs w:val="22"/>
              </w:rPr>
              <w:t xml:space="preserve">n </w:t>
            </w:r>
            <w:r w:rsidR="00FB296E" w:rsidRPr="0038264A">
              <w:rPr>
                <w:color w:val="000000" w:themeColor="text1"/>
                <w:sz w:val="22"/>
                <w:szCs w:val="22"/>
              </w:rPr>
              <w:t>annual</w:t>
            </w:r>
            <w:r w:rsidR="0038264A">
              <w:rPr>
                <w:color w:val="C00000"/>
                <w:sz w:val="22"/>
                <w:szCs w:val="22"/>
              </w:rPr>
              <w:t xml:space="preserve"> </w:t>
            </w:r>
            <w:r w:rsidRPr="004E0C74">
              <w:rPr>
                <w:sz w:val="22"/>
                <w:szCs w:val="22"/>
              </w:rPr>
              <w:t xml:space="preserve">basis. </w:t>
            </w:r>
          </w:p>
        </w:tc>
        <w:tc>
          <w:tcPr>
            <w:tcW w:w="2240" w:type="dxa"/>
          </w:tcPr>
          <w:p w14:paraId="2B233FFB" w14:textId="77777777" w:rsidR="003C7B14" w:rsidRPr="004E0C74" w:rsidRDefault="003C7B14" w:rsidP="00D07CF2">
            <w:pPr>
              <w:spacing w:after="200" w:line="276" w:lineRule="auto"/>
              <w:rPr>
                <w:sz w:val="22"/>
                <w:szCs w:val="22"/>
              </w:rPr>
            </w:pPr>
            <w:r w:rsidRPr="004E0C74">
              <w:rPr>
                <w:color w:val="C00000"/>
                <w:sz w:val="22"/>
                <w:szCs w:val="22"/>
              </w:rPr>
              <w:t>X</w:t>
            </w:r>
            <w:r w:rsidRPr="004E0C74">
              <w:rPr>
                <w:sz w:val="22"/>
                <w:szCs w:val="22"/>
              </w:rPr>
              <w:t>% of Medical Administration Services Only (ASO) Fees at Risk</w:t>
            </w:r>
          </w:p>
          <w:p w14:paraId="025A4EA3" w14:textId="77777777" w:rsidR="003C7B14" w:rsidRPr="004E0C74" w:rsidRDefault="003C7B14" w:rsidP="00D07CF2">
            <w:pPr>
              <w:spacing w:after="200" w:line="276" w:lineRule="auto"/>
              <w:rPr>
                <w:sz w:val="22"/>
                <w:szCs w:val="22"/>
              </w:rPr>
            </w:pPr>
          </w:p>
        </w:tc>
      </w:tr>
    </w:tbl>
    <w:p w14:paraId="3D93D70C" w14:textId="77777777" w:rsidR="00C45142" w:rsidRPr="004E0C74" w:rsidRDefault="00C45142" w:rsidP="009F4C56">
      <w:pPr>
        <w:spacing w:after="200" w:line="276" w:lineRule="auto"/>
        <w:rPr>
          <w:sz w:val="22"/>
          <w:szCs w:val="22"/>
        </w:rPr>
      </w:pPr>
    </w:p>
    <w:sectPr w:rsidR="00C45142" w:rsidRPr="004E0C74" w:rsidSect="00797496">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C6F0EB" w14:textId="77777777" w:rsidR="004140C0" w:rsidRDefault="004140C0" w:rsidP="00015717">
      <w:r>
        <w:separator/>
      </w:r>
    </w:p>
  </w:endnote>
  <w:endnote w:type="continuationSeparator" w:id="0">
    <w:p w14:paraId="4181E5A5" w14:textId="77777777" w:rsidR="004140C0" w:rsidRDefault="004140C0" w:rsidP="00015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Raleway Light">
    <w:panose1 w:val="020B0403030101060003"/>
    <w:charset w:val="00"/>
    <w:family w:val="auto"/>
    <w:pitch w:val="variable"/>
    <w:sig w:usb0="A00002FF" w:usb1="5000205B" w:usb2="00000000" w:usb3="00000000" w:csb0="00000097" w:csb1="00000000"/>
  </w:font>
  <w:font w:name="Raleway">
    <w:panose1 w:val="020B0503030101060003"/>
    <w:charset w:val="00"/>
    <w:family w:val="auto"/>
    <w:pitch w:val="variable"/>
    <w:sig w:usb0="A00002FF" w:usb1="5000205B" w:usb2="00000000" w:usb3="00000000" w:csb0="00000097"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18816" w14:textId="77777777" w:rsidR="005614B3" w:rsidRDefault="005614B3" w:rsidP="00E52DE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C838D53" w14:textId="77777777" w:rsidR="005614B3" w:rsidRDefault="005614B3" w:rsidP="0001571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5E9327" w14:textId="30F915AF" w:rsidR="005614B3" w:rsidRPr="00015717" w:rsidRDefault="005614B3" w:rsidP="00E52DED">
    <w:pPr>
      <w:pStyle w:val="Footer"/>
      <w:framePr w:wrap="none" w:vAnchor="text" w:hAnchor="margin" w:xAlign="right" w:y="1"/>
      <w:rPr>
        <w:rStyle w:val="PageNumber"/>
        <w:rFonts w:ascii="Raleway" w:hAnsi="Raleway"/>
      </w:rPr>
    </w:pPr>
    <w:r w:rsidRPr="00015717">
      <w:rPr>
        <w:rStyle w:val="PageNumber"/>
        <w:rFonts w:ascii="Raleway" w:hAnsi="Raleway"/>
      </w:rPr>
      <w:fldChar w:fldCharType="begin"/>
    </w:r>
    <w:r w:rsidRPr="00015717">
      <w:rPr>
        <w:rStyle w:val="PageNumber"/>
        <w:rFonts w:ascii="Raleway" w:hAnsi="Raleway"/>
      </w:rPr>
      <w:instrText xml:space="preserve">PAGE  </w:instrText>
    </w:r>
    <w:r w:rsidRPr="00015717">
      <w:rPr>
        <w:rStyle w:val="PageNumber"/>
        <w:rFonts w:ascii="Raleway" w:hAnsi="Raleway"/>
      </w:rPr>
      <w:fldChar w:fldCharType="separate"/>
    </w:r>
    <w:r w:rsidR="00200DD3">
      <w:rPr>
        <w:rStyle w:val="PageNumber"/>
        <w:rFonts w:ascii="Raleway" w:hAnsi="Raleway"/>
        <w:noProof/>
      </w:rPr>
      <w:t>6</w:t>
    </w:r>
    <w:r w:rsidRPr="00015717">
      <w:rPr>
        <w:rStyle w:val="PageNumber"/>
        <w:rFonts w:ascii="Raleway" w:hAnsi="Raleway"/>
      </w:rPr>
      <w:fldChar w:fldCharType="end"/>
    </w:r>
  </w:p>
  <w:p w14:paraId="05D44914" w14:textId="3B95A66A" w:rsidR="005614B3" w:rsidRPr="00015717" w:rsidRDefault="005614B3" w:rsidP="00015717">
    <w:pPr>
      <w:pStyle w:val="Footer"/>
      <w:ind w:right="360"/>
      <w:jc w:val="right"/>
      <w:rPr>
        <w:rFonts w:ascii="Raleway" w:hAnsi="Raleway"/>
        <w:color w:val="333F48"/>
      </w:rPr>
    </w:pPr>
    <w:r>
      <w:rPr>
        <w:rFonts w:ascii="Raleway" w:hAnsi="Raleway"/>
        <w:color w:val="333F48"/>
      </w:rPr>
      <w:t xml:space="preserve">ACO Performance Guarantees   </w:t>
    </w:r>
    <w:r w:rsidRPr="00015717">
      <w:rPr>
        <w:rFonts w:ascii="Raleway" w:hAnsi="Raleway"/>
        <w:b/>
        <w:color w:val="333F48"/>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CD6F76" w14:textId="77777777" w:rsidR="004140C0" w:rsidRDefault="004140C0" w:rsidP="00015717">
      <w:r>
        <w:separator/>
      </w:r>
    </w:p>
  </w:footnote>
  <w:footnote w:type="continuationSeparator" w:id="0">
    <w:p w14:paraId="7EABF792" w14:textId="77777777" w:rsidR="004140C0" w:rsidRDefault="004140C0" w:rsidP="00015717">
      <w:r>
        <w:continuationSeparator/>
      </w:r>
    </w:p>
  </w:footnote>
  <w:footnote w:id="1">
    <w:p w14:paraId="3F743B71" w14:textId="7A1B2131" w:rsidR="00AC2ADE" w:rsidRDefault="00AC2ADE">
      <w:pPr>
        <w:pStyle w:val="FootnoteText"/>
      </w:pPr>
      <w:r>
        <w:rPr>
          <w:rStyle w:val="FootnoteReference"/>
        </w:rPr>
        <w:footnoteRef/>
      </w:r>
      <w:r>
        <w:t xml:space="preserve"> </w:t>
      </w:r>
      <w:r w:rsidRPr="00AC2ADE">
        <w:rPr>
          <w:rFonts w:ascii="Calibri" w:eastAsia="Times New Roman" w:hAnsi="Calibri" w:cs="Times New Roman"/>
          <w:b/>
          <w:i/>
          <w:sz w:val="20"/>
          <w:szCs w:val="20"/>
        </w:rPr>
        <w:t>Shared risk</w:t>
      </w:r>
      <w:r>
        <w:rPr>
          <w:rFonts w:ascii="Calibri" w:eastAsia="Times New Roman" w:hAnsi="Calibri" w:cs="Times New Roman"/>
          <w:sz w:val="20"/>
          <w:szCs w:val="20"/>
        </w:rPr>
        <w:t xml:space="preserve"> r</w:t>
      </w:r>
      <w:r w:rsidRPr="00035F36">
        <w:rPr>
          <w:rFonts w:ascii="Calibri" w:eastAsia="Times New Roman" w:hAnsi="Calibri" w:cs="Times New Roman"/>
          <w:sz w:val="20"/>
          <w:szCs w:val="20"/>
        </w:rPr>
        <w:t xml:space="preserve">efers to arrangements in which providers accept some financial liability for </w:t>
      </w:r>
      <w:r w:rsidRPr="00035F36">
        <w:rPr>
          <w:rFonts w:ascii="Calibri" w:eastAsia="Times New Roman" w:hAnsi="Calibri" w:cs="Times New Roman"/>
          <w:sz w:val="20"/>
          <w:szCs w:val="20"/>
          <w:u w:val="single"/>
        </w:rPr>
        <w:t>not</w:t>
      </w:r>
      <w:r w:rsidRPr="00216076">
        <w:rPr>
          <w:rFonts w:ascii="Calibri" w:eastAsia="Times New Roman" w:hAnsi="Calibri" w:cs="Times New Roman"/>
          <w:sz w:val="20"/>
          <w:szCs w:val="20"/>
        </w:rPr>
        <w:t xml:space="preserve"> </w:t>
      </w:r>
      <w:r w:rsidRPr="00035F36">
        <w:rPr>
          <w:rFonts w:ascii="Calibri" w:eastAsia="Times New Roman" w:hAnsi="Calibri" w:cs="Times New Roman"/>
          <w:sz w:val="20"/>
          <w:szCs w:val="20"/>
        </w:rPr>
        <w:t>meeting specified financial targets.  It may also include arrangements in which providers accept some financial liability for not meeting specified quality targets.  Examples include</w:t>
      </w:r>
      <w:r>
        <w:rPr>
          <w:rFonts w:ascii="Calibri" w:eastAsia="Times New Roman" w:hAnsi="Calibri" w:cs="Times New Roman"/>
          <w:sz w:val="20"/>
          <w:szCs w:val="20"/>
        </w:rPr>
        <w:t>:</w:t>
      </w:r>
      <w:r w:rsidRPr="00035F36">
        <w:rPr>
          <w:rFonts w:ascii="Calibri" w:eastAsia="Times New Roman" w:hAnsi="Calibri" w:cs="Times New Roman"/>
          <w:sz w:val="20"/>
          <w:szCs w:val="20"/>
        </w:rPr>
        <w:t xml:space="preserve"> loss of bonus; baseline revenue loss; or loss for costs exceeding global or capitation payments; withholds that are retained and adjustments to fee schedules.</w:t>
      </w:r>
    </w:p>
  </w:footnote>
  <w:footnote w:id="2">
    <w:p w14:paraId="60115DA3" w14:textId="674C7C20" w:rsidR="00AC2ADE" w:rsidRDefault="00AC2ADE">
      <w:pPr>
        <w:pStyle w:val="FootnoteText"/>
      </w:pPr>
      <w:r>
        <w:rPr>
          <w:rStyle w:val="FootnoteReference"/>
        </w:rPr>
        <w:footnoteRef/>
      </w:r>
      <w:r>
        <w:t xml:space="preserve"> </w:t>
      </w:r>
      <w:r w:rsidRPr="00AC2ADE">
        <w:rPr>
          <w:rFonts w:ascii="Calibri" w:eastAsia="Times New Roman" w:hAnsi="Calibri" w:cs="Times New Roman"/>
          <w:b/>
          <w:i/>
          <w:sz w:val="20"/>
          <w:szCs w:val="20"/>
        </w:rPr>
        <w:t>Shared risk</w:t>
      </w:r>
      <w:r>
        <w:rPr>
          <w:rFonts w:ascii="Calibri" w:eastAsia="Times New Roman" w:hAnsi="Calibri" w:cs="Times New Roman"/>
          <w:sz w:val="20"/>
          <w:szCs w:val="20"/>
        </w:rPr>
        <w:t xml:space="preserve"> r</w:t>
      </w:r>
      <w:r w:rsidRPr="00035F36">
        <w:rPr>
          <w:rFonts w:ascii="Calibri" w:eastAsia="Times New Roman" w:hAnsi="Calibri" w:cs="Times New Roman"/>
          <w:sz w:val="20"/>
          <w:szCs w:val="20"/>
        </w:rPr>
        <w:t xml:space="preserve">efers to arrangements in which providers accept some financial liability for </w:t>
      </w:r>
      <w:r w:rsidRPr="00035F36">
        <w:rPr>
          <w:rFonts w:ascii="Calibri" w:eastAsia="Times New Roman" w:hAnsi="Calibri" w:cs="Times New Roman"/>
          <w:sz w:val="20"/>
          <w:szCs w:val="20"/>
          <w:u w:val="single"/>
        </w:rPr>
        <w:t>not</w:t>
      </w:r>
      <w:r w:rsidRPr="00216076">
        <w:rPr>
          <w:rFonts w:ascii="Calibri" w:eastAsia="Times New Roman" w:hAnsi="Calibri" w:cs="Times New Roman"/>
          <w:sz w:val="20"/>
          <w:szCs w:val="20"/>
        </w:rPr>
        <w:t xml:space="preserve"> </w:t>
      </w:r>
      <w:r w:rsidRPr="00035F36">
        <w:rPr>
          <w:rFonts w:ascii="Calibri" w:eastAsia="Times New Roman" w:hAnsi="Calibri" w:cs="Times New Roman"/>
          <w:sz w:val="20"/>
          <w:szCs w:val="20"/>
        </w:rPr>
        <w:t>meeting specified financial targets.  It may also include arrangements in which providers accept some financial liability for not meeting specified quality targets.  Examples include</w:t>
      </w:r>
      <w:r>
        <w:rPr>
          <w:rFonts w:ascii="Calibri" w:eastAsia="Times New Roman" w:hAnsi="Calibri" w:cs="Times New Roman"/>
          <w:sz w:val="20"/>
          <w:szCs w:val="20"/>
        </w:rPr>
        <w:t>:</w:t>
      </w:r>
      <w:r w:rsidRPr="00035F36">
        <w:rPr>
          <w:rFonts w:ascii="Calibri" w:eastAsia="Times New Roman" w:hAnsi="Calibri" w:cs="Times New Roman"/>
          <w:sz w:val="20"/>
          <w:szCs w:val="20"/>
        </w:rPr>
        <w:t xml:space="preserve"> loss of bonus; baseline revenue loss; or loss for costs exceeding global or capitation payments; withholds that are retained and adjustments to fee schedules.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CF26246"/>
    <w:multiLevelType w:val="hybridMultilevel"/>
    <w:tmpl w:val="C74077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633509"/>
    <w:multiLevelType w:val="hybridMultilevel"/>
    <w:tmpl w:val="064849FE"/>
    <w:lvl w:ilvl="0" w:tplc="D1C403C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B06529"/>
    <w:multiLevelType w:val="hybridMultilevel"/>
    <w:tmpl w:val="665AE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45B6169"/>
    <w:multiLevelType w:val="hybridMultilevel"/>
    <w:tmpl w:val="DE725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5E64F2"/>
    <w:multiLevelType w:val="hybridMultilevel"/>
    <w:tmpl w:val="C74077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2700CA"/>
    <w:multiLevelType w:val="hybridMultilevel"/>
    <w:tmpl w:val="C5387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E85AAE"/>
    <w:multiLevelType w:val="hybridMultilevel"/>
    <w:tmpl w:val="06068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7126A5"/>
    <w:multiLevelType w:val="hybridMultilevel"/>
    <w:tmpl w:val="190AF5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856DF3"/>
    <w:multiLevelType w:val="hybridMultilevel"/>
    <w:tmpl w:val="C74077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CA498E"/>
    <w:multiLevelType w:val="hybridMultilevel"/>
    <w:tmpl w:val="D92CF6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8A1F4B"/>
    <w:multiLevelType w:val="hybridMultilevel"/>
    <w:tmpl w:val="C74077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31501C"/>
    <w:multiLevelType w:val="hybridMultilevel"/>
    <w:tmpl w:val="4DB8F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05404A"/>
    <w:multiLevelType w:val="hybridMultilevel"/>
    <w:tmpl w:val="32400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8D0788F"/>
    <w:multiLevelType w:val="hybridMultilevel"/>
    <w:tmpl w:val="9DD22C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AE13365"/>
    <w:multiLevelType w:val="hybridMultilevel"/>
    <w:tmpl w:val="9884A3FA"/>
    <w:lvl w:ilvl="0" w:tplc="0409000F">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nsid w:val="5C864C55"/>
    <w:multiLevelType w:val="hybridMultilevel"/>
    <w:tmpl w:val="121874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E0F23EB"/>
    <w:multiLevelType w:val="hybridMultilevel"/>
    <w:tmpl w:val="457AEDC6"/>
    <w:lvl w:ilvl="0" w:tplc="0BE476FC">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EFD5A00"/>
    <w:multiLevelType w:val="hybridMultilevel"/>
    <w:tmpl w:val="C74077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16"/>
  </w:num>
  <w:num w:numId="4">
    <w:abstractNumId w:val="10"/>
  </w:num>
  <w:num w:numId="5">
    <w:abstractNumId w:val="4"/>
  </w:num>
  <w:num w:numId="6">
    <w:abstractNumId w:val="9"/>
  </w:num>
  <w:num w:numId="7">
    <w:abstractNumId w:val="15"/>
  </w:num>
  <w:num w:numId="8">
    <w:abstractNumId w:val="7"/>
  </w:num>
  <w:num w:numId="9">
    <w:abstractNumId w:val="11"/>
  </w:num>
  <w:num w:numId="10">
    <w:abstractNumId w:val="2"/>
  </w:num>
  <w:num w:numId="11">
    <w:abstractNumId w:val="14"/>
  </w:num>
  <w:num w:numId="12">
    <w:abstractNumId w:val="19"/>
  </w:num>
  <w:num w:numId="13">
    <w:abstractNumId w:val="5"/>
  </w:num>
  <w:num w:numId="14">
    <w:abstractNumId w:val="6"/>
  </w:num>
  <w:num w:numId="15">
    <w:abstractNumId w:val="13"/>
  </w:num>
  <w:num w:numId="16">
    <w:abstractNumId w:val="12"/>
  </w:num>
  <w:num w:numId="17">
    <w:abstractNumId w:val="18"/>
  </w:num>
  <w:num w:numId="18">
    <w:abstractNumId w:val="17"/>
  </w:num>
  <w:num w:numId="19">
    <w:abstractNumId w:val="0"/>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B66"/>
    <w:rsid w:val="00001362"/>
    <w:rsid w:val="00015717"/>
    <w:rsid w:val="00025A24"/>
    <w:rsid w:val="00027DB8"/>
    <w:rsid w:val="0006181A"/>
    <w:rsid w:val="00064900"/>
    <w:rsid w:val="00066631"/>
    <w:rsid w:val="0007092B"/>
    <w:rsid w:val="0007357B"/>
    <w:rsid w:val="00084C49"/>
    <w:rsid w:val="000914DC"/>
    <w:rsid w:val="000B7C2A"/>
    <w:rsid w:val="000D1740"/>
    <w:rsid w:val="00104579"/>
    <w:rsid w:val="00110C1E"/>
    <w:rsid w:val="00111BE7"/>
    <w:rsid w:val="00113443"/>
    <w:rsid w:val="00117E07"/>
    <w:rsid w:val="00141950"/>
    <w:rsid w:val="00172569"/>
    <w:rsid w:val="001B127B"/>
    <w:rsid w:val="001E210F"/>
    <w:rsid w:val="001E2412"/>
    <w:rsid w:val="001E4D31"/>
    <w:rsid w:val="001F55D4"/>
    <w:rsid w:val="00200DD3"/>
    <w:rsid w:val="002079B7"/>
    <w:rsid w:val="00225CF1"/>
    <w:rsid w:val="00232351"/>
    <w:rsid w:val="00232EAB"/>
    <w:rsid w:val="002351CC"/>
    <w:rsid w:val="00236712"/>
    <w:rsid w:val="002440FD"/>
    <w:rsid w:val="002572AF"/>
    <w:rsid w:val="002671EB"/>
    <w:rsid w:val="002A0AB4"/>
    <w:rsid w:val="002B5CFF"/>
    <w:rsid w:val="002C10BE"/>
    <w:rsid w:val="002C7DEC"/>
    <w:rsid w:val="002D1860"/>
    <w:rsid w:val="002E0582"/>
    <w:rsid w:val="00313D2A"/>
    <w:rsid w:val="00327027"/>
    <w:rsid w:val="00372F8A"/>
    <w:rsid w:val="0038264A"/>
    <w:rsid w:val="003C7B14"/>
    <w:rsid w:val="003D652F"/>
    <w:rsid w:val="00410BCD"/>
    <w:rsid w:val="004140C0"/>
    <w:rsid w:val="0041621B"/>
    <w:rsid w:val="004216F8"/>
    <w:rsid w:val="00441612"/>
    <w:rsid w:val="00446AC8"/>
    <w:rsid w:val="00451E80"/>
    <w:rsid w:val="0046457E"/>
    <w:rsid w:val="004660F4"/>
    <w:rsid w:val="004723D2"/>
    <w:rsid w:val="00480506"/>
    <w:rsid w:val="004A4C3D"/>
    <w:rsid w:val="004B6F22"/>
    <w:rsid w:val="004D24B5"/>
    <w:rsid w:val="004E0C74"/>
    <w:rsid w:val="004E1383"/>
    <w:rsid w:val="004F224B"/>
    <w:rsid w:val="00505E6E"/>
    <w:rsid w:val="00517BA9"/>
    <w:rsid w:val="00525D9A"/>
    <w:rsid w:val="0053134D"/>
    <w:rsid w:val="00553882"/>
    <w:rsid w:val="005614B3"/>
    <w:rsid w:val="00564AB8"/>
    <w:rsid w:val="0058764D"/>
    <w:rsid w:val="00590779"/>
    <w:rsid w:val="005A1EE8"/>
    <w:rsid w:val="005A2655"/>
    <w:rsid w:val="005B6576"/>
    <w:rsid w:val="005C5129"/>
    <w:rsid w:val="005C6AC3"/>
    <w:rsid w:val="005F1D7A"/>
    <w:rsid w:val="00605A92"/>
    <w:rsid w:val="00625EDA"/>
    <w:rsid w:val="00644550"/>
    <w:rsid w:val="006522B1"/>
    <w:rsid w:val="00660424"/>
    <w:rsid w:val="00660CAC"/>
    <w:rsid w:val="00662BA1"/>
    <w:rsid w:val="006757DB"/>
    <w:rsid w:val="00684E59"/>
    <w:rsid w:val="00685F20"/>
    <w:rsid w:val="006B0C29"/>
    <w:rsid w:val="006D7902"/>
    <w:rsid w:val="006F31EB"/>
    <w:rsid w:val="007127F7"/>
    <w:rsid w:val="00727259"/>
    <w:rsid w:val="00754284"/>
    <w:rsid w:val="00757A23"/>
    <w:rsid w:val="00781B26"/>
    <w:rsid w:val="0079366C"/>
    <w:rsid w:val="00797496"/>
    <w:rsid w:val="007A0D36"/>
    <w:rsid w:val="007B13EA"/>
    <w:rsid w:val="007C2B42"/>
    <w:rsid w:val="007F1303"/>
    <w:rsid w:val="00812E6A"/>
    <w:rsid w:val="008237B8"/>
    <w:rsid w:val="008244D4"/>
    <w:rsid w:val="00830475"/>
    <w:rsid w:val="00831FF4"/>
    <w:rsid w:val="00893FAF"/>
    <w:rsid w:val="008A142C"/>
    <w:rsid w:val="008C590D"/>
    <w:rsid w:val="008D78CE"/>
    <w:rsid w:val="008E3D22"/>
    <w:rsid w:val="00914349"/>
    <w:rsid w:val="00933516"/>
    <w:rsid w:val="00957A49"/>
    <w:rsid w:val="00965D6E"/>
    <w:rsid w:val="0097227D"/>
    <w:rsid w:val="00995CFA"/>
    <w:rsid w:val="009D4018"/>
    <w:rsid w:val="009F4C56"/>
    <w:rsid w:val="00A05027"/>
    <w:rsid w:val="00A2258D"/>
    <w:rsid w:val="00A5072E"/>
    <w:rsid w:val="00A62CDA"/>
    <w:rsid w:val="00A70918"/>
    <w:rsid w:val="00A779CB"/>
    <w:rsid w:val="00A83922"/>
    <w:rsid w:val="00A85905"/>
    <w:rsid w:val="00A95D82"/>
    <w:rsid w:val="00AA08B2"/>
    <w:rsid w:val="00AB4A2E"/>
    <w:rsid w:val="00AC2AD7"/>
    <w:rsid w:val="00AC2ADE"/>
    <w:rsid w:val="00AC5616"/>
    <w:rsid w:val="00AE11CC"/>
    <w:rsid w:val="00AF0B1C"/>
    <w:rsid w:val="00AF378C"/>
    <w:rsid w:val="00B0261A"/>
    <w:rsid w:val="00B11691"/>
    <w:rsid w:val="00B133A0"/>
    <w:rsid w:val="00B16EBB"/>
    <w:rsid w:val="00B273C8"/>
    <w:rsid w:val="00B44921"/>
    <w:rsid w:val="00B57614"/>
    <w:rsid w:val="00B62FA2"/>
    <w:rsid w:val="00B771E2"/>
    <w:rsid w:val="00B83CC1"/>
    <w:rsid w:val="00B85EDE"/>
    <w:rsid w:val="00BB1259"/>
    <w:rsid w:val="00BC3F38"/>
    <w:rsid w:val="00BD25C3"/>
    <w:rsid w:val="00C025B1"/>
    <w:rsid w:val="00C14435"/>
    <w:rsid w:val="00C1781D"/>
    <w:rsid w:val="00C208FB"/>
    <w:rsid w:val="00C40F99"/>
    <w:rsid w:val="00C45142"/>
    <w:rsid w:val="00C470BA"/>
    <w:rsid w:val="00C71A91"/>
    <w:rsid w:val="00C779AE"/>
    <w:rsid w:val="00CA1286"/>
    <w:rsid w:val="00CA1B74"/>
    <w:rsid w:val="00CB07A6"/>
    <w:rsid w:val="00CB61FF"/>
    <w:rsid w:val="00CB6763"/>
    <w:rsid w:val="00CD034A"/>
    <w:rsid w:val="00CD3378"/>
    <w:rsid w:val="00CF5653"/>
    <w:rsid w:val="00CF5F68"/>
    <w:rsid w:val="00D04BC3"/>
    <w:rsid w:val="00D12F4E"/>
    <w:rsid w:val="00D2560C"/>
    <w:rsid w:val="00D334E0"/>
    <w:rsid w:val="00D42CE6"/>
    <w:rsid w:val="00D52866"/>
    <w:rsid w:val="00D63B9C"/>
    <w:rsid w:val="00D6537B"/>
    <w:rsid w:val="00D85ED4"/>
    <w:rsid w:val="00DB0C76"/>
    <w:rsid w:val="00DC2CAB"/>
    <w:rsid w:val="00DC35C2"/>
    <w:rsid w:val="00DD733E"/>
    <w:rsid w:val="00DE0128"/>
    <w:rsid w:val="00DE0746"/>
    <w:rsid w:val="00DF3869"/>
    <w:rsid w:val="00DF75DC"/>
    <w:rsid w:val="00E1097F"/>
    <w:rsid w:val="00E31AE1"/>
    <w:rsid w:val="00E346B2"/>
    <w:rsid w:val="00E466F1"/>
    <w:rsid w:val="00E51E04"/>
    <w:rsid w:val="00E52DED"/>
    <w:rsid w:val="00E62133"/>
    <w:rsid w:val="00E6644C"/>
    <w:rsid w:val="00E671A8"/>
    <w:rsid w:val="00E90D41"/>
    <w:rsid w:val="00E91525"/>
    <w:rsid w:val="00E91D82"/>
    <w:rsid w:val="00E94B31"/>
    <w:rsid w:val="00EB578A"/>
    <w:rsid w:val="00EC7DB3"/>
    <w:rsid w:val="00EE5FEF"/>
    <w:rsid w:val="00EF4C03"/>
    <w:rsid w:val="00F156AF"/>
    <w:rsid w:val="00F16673"/>
    <w:rsid w:val="00F23710"/>
    <w:rsid w:val="00F24B17"/>
    <w:rsid w:val="00F27B89"/>
    <w:rsid w:val="00F40B20"/>
    <w:rsid w:val="00F5090D"/>
    <w:rsid w:val="00F91BBB"/>
    <w:rsid w:val="00FA3673"/>
    <w:rsid w:val="00FA6B66"/>
    <w:rsid w:val="00FB1394"/>
    <w:rsid w:val="00FB296E"/>
    <w:rsid w:val="00FD7A24"/>
    <w:rsid w:val="00FE37FC"/>
    <w:rsid w:val="00FE7CC9"/>
    <w:rsid w:val="00FF6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9F0F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A6B66"/>
  </w:style>
  <w:style w:type="paragraph" w:styleId="Heading1">
    <w:name w:val="heading 1"/>
    <w:basedOn w:val="Normal"/>
    <w:next w:val="Normal"/>
    <w:link w:val="Heading1Char"/>
    <w:autoRedefine/>
    <w:qFormat/>
    <w:rsid w:val="00FA6B66"/>
    <w:pPr>
      <w:keepNext/>
      <w:keepLines/>
      <w:ind w:left="-180"/>
      <w:outlineLvl w:val="0"/>
    </w:pPr>
    <w:rPr>
      <w:rFonts w:ascii="Raleway Light" w:eastAsiaTheme="majorEastAsia" w:hAnsi="Raleway Light" w:cstheme="majorBidi"/>
      <w:bCs/>
      <w:color w:val="EA7601"/>
      <w:sz w:val="8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6B66"/>
    <w:rPr>
      <w:rFonts w:ascii="Raleway Light" w:eastAsiaTheme="majorEastAsia" w:hAnsi="Raleway Light" w:cstheme="majorBidi"/>
      <w:bCs/>
      <w:color w:val="EA7601"/>
      <w:sz w:val="84"/>
      <w:szCs w:val="32"/>
    </w:rPr>
  </w:style>
  <w:style w:type="paragraph" w:styleId="Header">
    <w:name w:val="header"/>
    <w:basedOn w:val="Normal"/>
    <w:link w:val="HeaderChar"/>
    <w:uiPriority w:val="99"/>
    <w:unhideWhenUsed/>
    <w:rsid w:val="00015717"/>
    <w:pPr>
      <w:tabs>
        <w:tab w:val="center" w:pos="4680"/>
        <w:tab w:val="right" w:pos="9360"/>
      </w:tabs>
    </w:pPr>
  </w:style>
  <w:style w:type="character" w:customStyle="1" w:styleId="HeaderChar">
    <w:name w:val="Header Char"/>
    <w:basedOn w:val="DefaultParagraphFont"/>
    <w:link w:val="Header"/>
    <w:uiPriority w:val="99"/>
    <w:rsid w:val="00015717"/>
  </w:style>
  <w:style w:type="paragraph" w:styleId="Footer">
    <w:name w:val="footer"/>
    <w:basedOn w:val="Normal"/>
    <w:link w:val="FooterChar"/>
    <w:uiPriority w:val="99"/>
    <w:unhideWhenUsed/>
    <w:rsid w:val="00015717"/>
    <w:pPr>
      <w:tabs>
        <w:tab w:val="center" w:pos="4680"/>
        <w:tab w:val="right" w:pos="9360"/>
      </w:tabs>
    </w:pPr>
  </w:style>
  <w:style w:type="character" w:customStyle="1" w:styleId="FooterChar">
    <w:name w:val="Footer Char"/>
    <w:basedOn w:val="DefaultParagraphFont"/>
    <w:link w:val="Footer"/>
    <w:uiPriority w:val="99"/>
    <w:rsid w:val="00015717"/>
  </w:style>
  <w:style w:type="character" w:styleId="PageNumber">
    <w:name w:val="page number"/>
    <w:basedOn w:val="DefaultParagraphFont"/>
    <w:uiPriority w:val="99"/>
    <w:semiHidden/>
    <w:unhideWhenUsed/>
    <w:rsid w:val="00015717"/>
  </w:style>
  <w:style w:type="paragraph" w:styleId="ListParagraph">
    <w:name w:val="List Paragraph"/>
    <w:basedOn w:val="Normal"/>
    <w:uiPriority w:val="34"/>
    <w:qFormat/>
    <w:rsid w:val="00EF4C03"/>
    <w:pPr>
      <w:ind w:left="720"/>
      <w:contextualSpacing/>
    </w:pPr>
  </w:style>
  <w:style w:type="character" w:styleId="CommentReference">
    <w:name w:val="annotation reference"/>
    <w:basedOn w:val="DefaultParagraphFont"/>
    <w:uiPriority w:val="99"/>
    <w:semiHidden/>
    <w:unhideWhenUsed/>
    <w:rsid w:val="00F24B17"/>
    <w:rPr>
      <w:sz w:val="18"/>
      <w:szCs w:val="18"/>
    </w:rPr>
  </w:style>
  <w:style w:type="paragraph" w:styleId="CommentText">
    <w:name w:val="annotation text"/>
    <w:basedOn w:val="Normal"/>
    <w:link w:val="CommentTextChar"/>
    <w:uiPriority w:val="99"/>
    <w:semiHidden/>
    <w:unhideWhenUsed/>
    <w:rsid w:val="00F24B17"/>
  </w:style>
  <w:style w:type="character" w:customStyle="1" w:styleId="CommentTextChar">
    <w:name w:val="Comment Text Char"/>
    <w:basedOn w:val="DefaultParagraphFont"/>
    <w:link w:val="CommentText"/>
    <w:uiPriority w:val="99"/>
    <w:semiHidden/>
    <w:rsid w:val="00F24B17"/>
  </w:style>
  <w:style w:type="paragraph" w:styleId="CommentSubject">
    <w:name w:val="annotation subject"/>
    <w:basedOn w:val="CommentText"/>
    <w:next w:val="CommentText"/>
    <w:link w:val="CommentSubjectChar"/>
    <w:uiPriority w:val="99"/>
    <w:semiHidden/>
    <w:unhideWhenUsed/>
    <w:rsid w:val="00F24B17"/>
    <w:rPr>
      <w:b/>
      <w:bCs/>
      <w:sz w:val="20"/>
      <w:szCs w:val="20"/>
    </w:rPr>
  </w:style>
  <w:style w:type="character" w:customStyle="1" w:styleId="CommentSubjectChar">
    <w:name w:val="Comment Subject Char"/>
    <w:basedOn w:val="CommentTextChar"/>
    <w:link w:val="CommentSubject"/>
    <w:uiPriority w:val="99"/>
    <w:semiHidden/>
    <w:rsid w:val="00F24B17"/>
    <w:rPr>
      <w:b/>
      <w:bCs/>
      <w:sz w:val="20"/>
      <w:szCs w:val="20"/>
    </w:rPr>
  </w:style>
  <w:style w:type="paragraph" w:styleId="BalloonText">
    <w:name w:val="Balloon Text"/>
    <w:basedOn w:val="Normal"/>
    <w:link w:val="BalloonTextChar"/>
    <w:uiPriority w:val="99"/>
    <w:semiHidden/>
    <w:unhideWhenUsed/>
    <w:rsid w:val="00F24B1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24B17"/>
    <w:rPr>
      <w:rFonts w:ascii="Times New Roman" w:hAnsi="Times New Roman" w:cs="Times New Roman"/>
      <w:sz w:val="18"/>
      <w:szCs w:val="18"/>
    </w:rPr>
  </w:style>
  <w:style w:type="table" w:styleId="TableGrid">
    <w:name w:val="Table Grid"/>
    <w:basedOn w:val="TableNormal"/>
    <w:uiPriority w:val="39"/>
    <w:rsid w:val="00FB13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7A0D36"/>
  </w:style>
  <w:style w:type="character" w:styleId="Hyperlink">
    <w:name w:val="Hyperlink"/>
    <w:basedOn w:val="DefaultParagraphFont"/>
    <w:uiPriority w:val="99"/>
    <w:unhideWhenUsed/>
    <w:rsid w:val="00DD733E"/>
    <w:rPr>
      <w:color w:val="0563C1" w:themeColor="hyperlink"/>
      <w:u w:val="single"/>
    </w:rPr>
  </w:style>
  <w:style w:type="character" w:customStyle="1" w:styleId="Mention1">
    <w:name w:val="Mention1"/>
    <w:basedOn w:val="DefaultParagraphFont"/>
    <w:uiPriority w:val="99"/>
    <w:semiHidden/>
    <w:unhideWhenUsed/>
    <w:rsid w:val="00DD733E"/>
    <w:rPr>
      <w:color w:val="2B579A"/>
      <w:shd w:val="clear" w:color="auto" w:fill="E6E6E6"/>
    </w:rPr>
  </w:style>
  <w:style w:type="paragraph" w:styleId="FootnoteText">
    <w:name w:val="footnote text"/>
    <w:basedOn w:val="Normal"/>
    <w:link w:val="FootnoteTextChar"/>
    <w:uiPriority w:val="99"/>
    <w:unhideWhenUsed/>
    <w:rsid w:val="00AC2ADE"/>
  </w:style>
  <w:style w:type="character" w:customStyle="1" w:styleId="FootnoteTextChar">
    <w:name w:val="Footnote Text Char"/>
    <w:basedOn w:val="DefaultParagraphFont"/>
    <w:link w:val="FootnoteText"/>
    <w:uiPriority w:val="99"/>
    <w:rsid w:val="00AC2ADE"/>
  </w:style>
  <w:style w:type="character" w:styleId="FootnoteReference">
    <w:name w:val="footnote reference"/>
    <w:basedOn w:val="DefaultParagraphFont"/>
    <w:uiPriority w:val="99"/>
    <w:unhideWhenUsed/>
    <w:rsid w:val="00AC2A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microsoft.com/office/2007/relationships/hdphoto" Target="media/hdphoto1.wdp"/><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3553171-840F-2F48-B20F-17D70CA4F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1323</Words>
  <Characters>7543</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Roz Murray</dc:creator>
  <cp:keywords/>
  <dc:description/>
  <cp:lastModifiedBy>Roz Murray</cp:lastModifiedBy>
  <cp:revision>3</cp:revision>
  <dcterms:created xsi:type="dcterms:W3CDTF">2017-10-06T23:21:00Z</dcterms:created>
  <dcterms:modified xsi:type="dcterms:W3CDTF">2017-10-09T20:03:00Z</dcterms:modified>
</cp:coreProperties>
</file>