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E8333" w14:textId="410C7107" w:rsidR="002825EF" w:rsidRPr="00477CCB" w:rsidRDefault="007B12E5" w:rsidP="0018339A">
      <w:pPr>
        <w:spacing w:after="0" w:line="240" w:lineRule="auto"/>
        <w:rPr>
          <w:rFonts w:ascii="Raleway" w:hAnsi="Raleway" w:cstheme="minorHAnsi"/>
        </w:rPr>
      </w:pPr>
      <w:bookmarkStart w:id="0" w:name="_GoBack"/>
      <w:bookmarkEnd w:id="0"/>
      <w:r w:rsidRPr="00477CCB">
        <w:rPr>
          <w:rFonts w:ascii="Raleway" w:hAnsi="Raleway" w:cstheme="minorHAnsi"/>
          <w:noProof/>
        </w:rPr>
        <w:drawing>
          <wp:inline distT="0" distB="0" distL="0" distR="0" wp14:anchorId="7E366162" wp14:editId="0742F294">
            <wp:extent cx="2647950" cy="8667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PR_Logo_RGB.jpg"/>
                    <pic:cNvPicPr/>
                  </pic:nvPicPr>
                  <pic:blipFill>
                    <a:blip r:embed="rId11">
                      <a:extLst>
                        <a:ext uri="{28A0092B-C50C-407E-A947-70E740481C1C}">
                          <a14:useLocalDpi xmlns:a14="http://schemas.microsoft.com/office/drawing/2010/main" val="0"/>
                        </a:ext>
                      </a:extLst>
                    </a:blip>
                    <a:stretch>
                      <a:fillRect/>
                    </a:stretch>
                  </pic:blipFill>
                  <pic:spPr>
                    <a:xfrm>
                      <a:off x="0" y="0"/>
                      <a:ext cx="2647950" cy="866775"/>
                    </a:xfrm>
                    <a:prstGeom prst="rect">
                      <a:avLst/>
                    </a:prstGeom>
                  </pic:spPr>
                </pic:pic>
              </a:graphicData>
            </a:graphic>
          </wp:inline>
        </w:drawing>
      </w:r>
    </w:p>
    <w:p w14:paraId="1558DDBB" w14:textId="0D3F0DA7" w:rsidR="00273237" w:rsidRPr="00477CCB" w:rsidRDefault="00273237" w:rsidP="0018339A">
      <w:pPr>
        <w:spacing w:after="0" w:line="240" w:lineRule="auto"/>
        <w:rPr>
          <w:rFonts w:ascii="Raleway" w:hAnsi="Raleway" w:cstheme="minorHAnsi"/>
        </w:rPr>
      </w:pPr>
    </w:p>
    <w:bookmarkStart w:id="1" w:name="_Hlk63083299"/>
    <w:p w14:paraId="298C4E11" w14:textId="16C97031" w:rsidR="00273237" w:rsidRPr="00F47052" w:rsidRDefault="00273237" w:rsidP="00273237">
      <w:pPr>
        <w:pStyle w:val="Heading1"/>
        <w:ind w:left="288"/>
        <w:rPr>
          <w:rFonts w:ascii="Raleway" w:hAnsi="Raleway" w:cstheme="minorHAnsi"/>
          <w:color w:val="EA7600" w:themeColor="accent1"/>
        </w:rPr>
      </w:pPr>
      <w:r w:rsidRPr="00F47052">
        <w:rPr>
          <w:rFonts w:ascii="Raleway" w:hAnsi="Raleway" w:cstheme="minorHAnsi"/>
          <w:noProof/>
          <w:color w:val="EA7600" w:themeColor="accent1"/>
        </w:rPr>
        <mc:AlternateContent>
          <mc:Choice Requires="wps">
            <w:drawing>
              <wp:anchor distT="0" distB="0" distL="114299" distR="114299" simplePos="0" relativeHeight="251660288" behindDoc="0" locked="0" layoutInCell="1" allowOverlap="1" wp14:anchorId="3D8F5F04" wp14:editId="1B07D200">
                <wp:simplePos x="0" y="0"/>
                <wp:positionH relativeFrom="margin">
                  <wp:posOffset>38099</wp:posOffset>
                </wp:positionH>
                <wp:positionV relativeFrom="paragraph">
                  <wp:posOffset>152400</wp:posOffset>
                </wp:positionV>
                <wp:extent cx="0" cy="659130"/>
                <wp:effectExtent l="0" t="0" r="19050" b="7620"/>
                <wp:wrapNone/>
                <wp:docPr id="6"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0" cy="659130"/>
                        </a:xfrm>
                        <a:prstGeom prst="line">
                          <a:avLst/>
                        </a:prstGeom>
                        <a:ln w="19050">
                          <a:solidFill>
                            <a:schemeClr val="accent1">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2DD177" id="Straight Connector 2" o:spid="_x0000_s1026" style="position:absolute;flip:x;z-index:25166028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margin;mso-height-relative:margin" from="3pt,12pt" to="3pt,6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" strokecolor="#ffac59 [1940]" strokeweight="1.5pt">
                <o:lock v:ext="edit" shapetype="f"/>
                <w10:wrap anchorx="margin"/>
              </v:line>
            </w:pict>
          </mc:Fallback>
        </mc:AlternateContent>
      </w:r>
      <w:r w:rsidR="00F47052" w:rsidRPr="00F47052">
        <w:rPr>
          <w:rFonts w:ascii="Raleway" w:hAnsi="Raleway" w:cstheme="minorHAnsi"/>
          <w:color w:val="EA7600" w:themeColor="accent1"/>
          <w:sz w:val="44"/>
          <w:szCs w:val="44"/>
        </w:rPr>
        <w:t xml:space="preserve">Hospital </w:t>
      </w:r>
      <w:r w:rsidR="001D7E45">
        <w:rPr>
          <w:rFonts w:ascii="Raleway" w:hAnsi="Raleway" w:cstheme="minorHAnsi"/>
          <w:color w:val="EA7600" w:themeColor="accent1"/>
          <w:sz w:val="44"/>
          <w:szCs w:val="44"/>
        </w:rPr>
        <w:t>Communication</w:t>
      </w:r>
      <w:r w:rsidR="00F47052" w:rsidRPr="00F47052">
        <w:rPr>
          <w:rFonts w:ascii="Raleway" w:hAnsi="Raleway" w:cstheme="minorHAnsi"/>
          <w:color w:val="EA7600" w:themeColor="accent1"/>
          <w:sz w:val="44"/>
          <w:szCs w:val="44"/>
        </w:rPr>
        <w:t xml:space="preserve"> Template</w:t>
      </w:r>
    </w:p>
    <w:bookmarkEnd w:id="1"/>
    <w:p w14:paraId="069BB6C6" w14:textId="77777777" w:rsidR="00273237" w:rsidRPr="00477CCB" w:rsidRDefault="00273237" w:rsidP="00273237">
      <w:pPr>
        <w:pStyle w:val="Subtitle"/>
        <w:rPr>
          <w:rFonts w:ascii="Raleway" w:hAnsi="Raleway" w:cstheme="minorHAnsi"/>
          <w:color w:val="EA7600" w:themeColor="accent1"/>
        </w:rPr>
      </w:pPr>
    </w:p>
    <w:p w14:paraId="5276D4B2" w14:textId="77777777" w:rsidR="00F47052" w:rsidRDefault="00F47052" w:rsidP="00F47052">
      <w:pPr>
        <w:pStyle w:val="Subtitle"/>
      </w:pPr>
    </w:p>
    <w:p w14:paraId="690DE8A8" w14:textId="41EA3EC5" w:rsidR="00F47052" w:rsidRDefault="00F47052" w:rsidP="00F47052">
      <w:pPr>
        <w:pStyle w:val="Heading2"/>
      </w:pPr>
      <w:r>
        <w:t>Overview</w:t>
      </w:r>
    </w:p>
    <w:p w14:paraId="55A36C9E" w14:textId="37B03677" w:rsidR="00F47052" w:rsidRDefault="00F47052" w:rsidP="00F47052">
      <w:r>
        <w:rPr>
          <w:noProof/>
        </w:rPr>
        <mc:AlternateContent>
          <mc:Choice Requires="wps">
            <w:drawing>
              <wp:anchor distT="91440" distB="91440" distL="114300" distR="114300" simplePos="0" relativeHeight="251662336" behindDoc="0" locked="0" layoutInCell="1" allowOverlap="1" wp14:anchorId="4675C898" wp14:editId="2541C9C4">
                <wp:simplePos x="0" y="0"/>
                <wp:positionH relativeFrom="margin">
                  <wp:align>right</wp:align>
                </wp:positionH>
                <wp:positionV relativeFrom="paragraph">
                  <wp:posOffset>1573530</wp:posOffset>
                </wp:positionV>
                <wp:extent cx="5943600" cy="1403985"/>
                <wp:effectExtent l="0" t="0" r="0" b="0"/>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3985"/>
                        </a:xfrm>
                        <a:prstGeom prst="rect">
                          <a:avLst/>
                        </a:prstGeom>
                        <a:noFill/>
                        <a:ln w="9525">
                          <a:noFill/>
                          <a:miter lim="800000"/>
                          <a:headEnd/>
                          <a:tailEnd/>
                        </a:ln>
                      </wps:spPr>
                      <wps:txbx>
                        <w:txbxContent>
                          <w:p w14:paraId="57B1C87A" w14:textId="77777777" w:rsidR="00F47052" w:rsidRDefault="00F47052" w:rsidP="00F47052">
                            <w:pPr>
                              <w:pBdr>
                                <w:top w:val="single" w:sz="24" w:space="8" w:color="EA7600" w:themeColor="accent1"/>
                                <w:bottom w:val="single" w:sz="24" w:space="8" w:color="EA7600" w:themeColor="accent1"/>
                              </w:pBdr>
                              <w:spacing w:after="0"/>
                              <w:rPr>
                                <w:i/>
                                <w:iCs/>
                                <w:color w:val="EA7600" w:themeColor="accent1"/>
                                <w:sz w:val="24"/>
                              </w:rPr>
                            </w:pPr>
                            <w:r w:rsidRPr="00A33155">
                              <w:rPr>
                                <w:i/>
                                <w:iCs/>
                                <w:color w:val="EA7600" w:themeColor="accent1"/>
                                <w:sz w:val="24"/>
                              </w:rPr>
                              <w:t xml:space="preserve">This tool offers messaging </w:t>
                            </w:r>
                            <w:r>
                              <w:rPr>
                                <w:i/>
                                <w:iCs/>
                                <w:color w:val="EA7600" w:themeColor="accent1"/>
                                <w:sz w:val="24"/>
                              </w:rPr>
                              <w:t xml:space="preserve">that </w:t>
                            </w:r>
                            <w:r w:rsidRPr="00A33155">
                              <w:rPr>
                                <w:i/>
                                <w:iCs/>
                                <w:color w:val="EA7600" w:themeColor="accent1"/>
                                <w:sz w:val="24"/>
                              </w:rPr>
                              <w:t>articulat</w:t>
                            </w:r>
                            <w:r>
                              <w:rPr>
                                <w:i/>
                                <w:iCs/>
                                <w:color w:val="EA7600" w:themeColor="accent1"/>
                                <w:sz w:val="24"/>
                              </w:rPr>
                              <w:t>es</w:t>
                            </w:r>
                            <w:r w:rsidRPr="00A33155">
                              <w:rPr>
                                <w:i/>
                                <w:iCs/>
                                <w:color w:val="EA7600" w:themeColor="accent1"/>
                                <w:sz w:val="24"/>
                              </w:rPr>
                              <w:t xml:space="preserve"> the </w:t>
                            </w:r>
                            <w:r>
                              <w:rPr>
                                <w:i/>
                                <w:iCs/>
                                <w:color w:val="EA7600" w:themeColor="accent1"/>
                                <w:sz w:val="24"/>
                              </w:rPr>
                              <w:t xml:space="preserve">benefit to providers </w:t>
                            </w:r>
                            <w:r w:rsidRPr="00A33155">
                              <w:rPr>
                                <w:i/>
                                <w:iCs/>
                                <w:color w:val="EA7600" w:themeColor="accent1"/>
                                <w:sz w:val="24"/>
                              </w:rPr>
                              <w:t xml:space="preserve">of entering </w:t>
                            </w:r>
                            <w:r>
                              <w:rPr>
                                <w:i/>
                                <w:iCs/>
                                <w:color w:val="EA7600" w:themeColor="accent1"/>
                                <w:sz w:val="24"/>
                              </w:rPr>
                              <w:t xml:space="preserve">into clinical partnership through a </w:t>
                            </w:r>
                            <w:r w:rsidRPr="00A33155">
                              <w:rPr>
                                <w:i/>
                                <w:iCs/>
                                <w:color w:val="EA7600" w:themeColor="accent1"/>
                                <w:sz w:val="24"/>
                              </w:rPr>
                              <w:t>High Value Maternity Network</w:t>
                            </w:r>
                            <w:r>
                              <w:rPr>
                                <w:i/>
                                <w:iCs/>
                                <w:color w:val="EA7600" w:themeColor="accent1"/>
                                <w:sz w:val="24"/>
                              </w:rPr>
                              <w:t xml:space="preserve"> (HVMN)</w:t>
                            </w:r>
                            <w:r w:rsidRPr="00A33155">
                              <w:rPr>
                                <w:i/>
                                <w:iCs/>
                                <w:color w:val="EA7600" w:themeColor="accent1"/>
                                <w:sz w:val="24"/>
                              </w:rPr>
                              <w:t xml:space="preserve">.  </w:t>
                            </w:r>
                            <w:r>
                              <w:rPr>
                                <w:i/>
                                <w:iCs/>
                                <w:color w:val="EA7600" w:themeColor="accent1"/>
                                <w:sz w:val="24"/>
                              </w:rPr>
                              <w:t>Purchasers can use this tool as a template for outreach to candidate hospitals and health systems.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675C898" id="_x0000_t202" coordsize="21600,21600" o:spt="202" path="m,l,21600r21600,l21600,xe">
                <v:stroke joinstyle="miter"/>
                <v:path gradientshapeok="t" o:connecttype="rect"/>
              </v:shapetype>
              <v:shape id="Text Box 2" o:spid="_x0000_s1026" type="#_x0000_t202" style="position:absolute;margin-left:416.8pt;margin-top:123.9pt;width:468pt;height:110.55pt;z-index:251662336;visibility:visible;mso-wrap-style:square;mso-width-percent:0;mso-height-percent:200;mso-wrap-distance-left:9pt;mso-wrap-distance-top:7.2pt;mso-wrap-distance-right:9pt;mso-wrap-distance-bottom:7.2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" filled="f" stroked="f">
                <v:textbox style="mso-fit-shape-to-text:t">
                  <w:txbxContent>
                    <w:p w14:paraId="57B1C87A" w14:textId="77777777" w:rsidR="00F47052" w:rsidRDefault="00F47052" w:rsidP="00F47052">
                      <w:pPr>
                        <w:pBdr>
                          <w:top w:val="single" w:sz="24" w:space="8" w:color="EA7600" w:themeColor="accent1"/>
                          <w:bottom w:val="single" w:sz="24" w:space="8" w:color="EA7600" w:themeColor="accent1"/>
                        </w:pBdr>
                        <w:spacing w:after="0"/>
                        <w:rPr>
                          <w:i/>
                          <w:iCs/>
                          <w:color w:val="EA7600" w:themeColor="accent1"/>
                          <w:sz w:val="24"/>
                        </w:rPr>
                      </w:pPr>
                      <w:r w:rsidRPr="00A33155">
                        <w:rPr>
                          <w:i/>
                          <w:iCs/>
                          <w:color w:val="EA7600" w:themeColor="accent1"/>
                          <w:sz w:val="24"/>
                        </w:rPr>
                        <w:t xml:space="preserve">This tool offers messaging </w:t>
                      </w:r>
                      <w:r>
                        <w:rPr>
                          <w:i/>
                          <w:iCs/>
                          <w:color w:val="EA7600" w:themeColor="accent1"/>
                          <w:sz w:val="24"/>
                        </w:rPr>
                        <w:t xml:space="preserve">that </w:t>
                      </w:r>
                      <w:r w:rsidRPr="00A33155">
                        <w:rPr>
                          <w:i/>
                          <w:iCs/>
                          <w:color w:val="EA7600" w:themeColor="accent1"/>
                          <w:sz w:val="24"/>
                        </w:rPr>
                        <w:t>articulat</w:t>
                      </w:r>
                      <w:r>
                        <w:rPr>
                          <w:i/>
                          <w:iCs/>
                          <w:color w:val="EA7600" w:themeColor="accent1"/>
                          <w:sz w:val="24"/>
                        </w:rPr>
                        <w:t>es</w:t>
                      </w:r>
                      <w:r w:rsidRPr="00A33155">
                        <w:rPr>
                          <w:i/>
                          <w:iCs/>
                          <w:color w:val="EA7600" w:themeColor="accent1"/>
                          <w:sz w:val="24"/>
                        </w:rPr>
                        <w:t xml:space="preserve"> the </w:t>
                      </w:r>
                      <w:r>
                        <w:rPr>
                          <w:i/>
                          <w:iCs/>
                          <w:color w:val="EA7600" w:themeColor="accent1"/>
                          <w:sz w:val="24"/>
                        </w:rPr>
                        <w:t xml:space="preserve">benefit to providers </w:t>
                      </w:r>
                      <w:r w:rsidRPr="00A33155">
                        <w:rPr>
                          <w:i/>
                          <w:iCs/>
                          <w:color w:val="EA7600" w:themeColor="accent1"/>
                          <w:sz w:val="24"/>
                        </w:rPr>
                        <w:t xml:space="preserve">of entering </w:t>
                      </w:r>
                      <w:r>
                        <w:rPr>
                          <w:i/>
                          <w:iCs/>
                          <w:color w:val="EA7600" w:themeColor="accent1"/>
                          <w:sz w:val="24"/>
                        </w:rPr>
                        <w:t xml:space="preserve">into clinical partnership through a </w:t>
                      </w:r>
                      <w:r w:rsidRPr="00A33155">
                        <w:rPr>
                          <w:i/>
                          <w:iCs/>
                          <w:color w:val="EA7600" w:themeColor="accent1"/>
                          <w:sz w:val="24"/>
                        </w:rPr>
                        <w:t>High Value Maternity Network</w:t>
                      </w:r>
                      <w:r>
                        <w:rPr>
                          <w:i/>
                          <w:iCs/>
                          <w:color w:val="EA7600" w:themeColor="accent1"/>
                          <w:sz w:val="24"/>
                        </w:rPr>
                        <w:t xml:space="preserve"> (HVMN)</w:t>
                      </w:r>
                      <w:r w:rsidRPr="00A33155">
                        <w:rPr>
                          <w:i/>
                          <w:iCs/>
                          <w:color w:val="EA7600" w:themeColor="accent1"/>
                          <w:sz w:val="24"/>
                        </w:rPr>
                        <w:t xml:space="preserve">.  </w:t>
                      </w:r>
                      <w:r>
                        <w:rPr>
                          <w:i/>
                          <w:iCs/>
                          <w:color w:val="EA7600" w:themeColor="accent1"/>
                          <w:sz w:val="24"/>
                        </w:rPr>
                        <w:t>Purchasers can use this tool as a template for outreach to candidate hospitals and health systems.</w:t>
                      </w:r>
                    </w:p>
                  </w:txbxContent>
                </v:textbox>
                <w10:wrap type="topAndBottom" anchorx="margin"/>
              </v:shape>
            </w:pict>
          </mc:Fallback>
        </mc:AlternateContent>
      </w:r>
      <w:r>
        <w:t>A purchaser-driven High-Value Maternity Network (HVMN) can mutually advantage purchasers and their clinical partners; however, most hospitals and health systems are unaccustomed to working directly with purchasers and may be new to responding to a purchaser-directed Request for Information (RFI).  The High-Value Maternity Network How-to Guide provides strategic and operational best practices for managing the RFI deployment end-to-end.   But the first step is to initiate contact with potential respondent hospitals and health systems by engaging hospital leadership and capturing their interest for potential partnership.</w:t>
      </w:r>
    </w:p>
    <w:p w14:paraId="798ABF57" w14:textId="219A4E07" w:rsidR="00F47052" w:rsidRDefault="00F47052" w:rsidP="00F47052">
      <w:pPr>
        <w:pStyle w:val="Heading2"/>
      </w:pPr>
      <w:r>
        <w:t>Benefits of the HVMN for Providers</w:t>
      </w:r>
    </w:p>
    <w:p w14:paraId="5ADB538E" w14:textId="77777777" w:rsidR="00F47052" w:rsidRDefault="00F47052" w:rsidP="00F47052">
      <w:r>
        <w:t xml:space="preserve">Being designated as a high-performing maternity hospital can be advantageous. However, working directly with a purchaser may be unchartered territory for a health system. As a result, health systems will want to understand the benefits of participation.  The benefits to health systems include the following: </w:t>
      </w:r>
    </w:p>
    <w:p w14:paraId="2B215E9B" w14:textId="77777777" w:rsidR="00F47052" w:rsidRDefault="00F47052" w:rsidP="00F47052">
      <w:pPr>
        <w:numPr>
          <w:ilvl w:val="0"/>
          <w:numId w:val="7"/>
        </w:numPr>
        <w:spacing w:after="0" w:line="240" w:lineRule="auto"/>
      </w:pPr>
      <w:r>
        <w:t>Increased volume</w:t>
      </w:r>
    </w:p>
    <w:p w14:paraId="3A3728FD" w14:textId="77777777" w:rsidR="00F47052" w:rsidRPr="006236A6" w:rsidRDefault="00F47052" w:rsidP="00F47052">
      <w:pPr>
        <w:spacing w:after="0" w:line="240" w:lineRule="auto"/>
        <w:ind w:left="720"/>
      </w:pPr>
      <w:r w:rsidRPr="006236A6">
        <w:t xml:space="preserve">This is the </w:t>
      </w:r>
      <w:r>
        <w:t>most straightforward: If selected for the HVMN, the hospital or health system may see increased volume and revenue because the p</w:t>
      </w:r>
      <w:r w:rsidRPr="006236A6">
        <w:t xml:space="preserve">urchaser will </w:t>
      </w:r>
      <w:r>
        <w:t>direct</w:t>
      </w:r>
      <w:r w:rsidRPr="006236A6">
        <w:t xml:space="preserve"> its </w:t>
      </w:r>
      <w:r>
        <w:t>plan participants</w:t>
      </w:r>
      <w:r w:rsidRPr="006236A6">
        <w:t xml:space="preserve"> to the health system through </w:t>
      </w:r>
      <w:r>
        <w:t xml:space="preserve">network and benefit design.  </w:t>
      </w:r>
    </w:p>
    <w:p w14:paraId="712C5317" w14:textId="77777777" w:rsidR="00F47052" w:rsidRDefault="00F47052" w:rsidP="00F47052">
      <w:pPr>
        <w:spacing w:after="0" w:line="240" w:lineRule="auto"/>
        <w:ind w:left="720"/>
      </w:pPr>
    </w:p>
    <w:p w14:paraId="4C7C89BF" w14:textId="77777777" w:rsidR="00F47052" w:rsidRPr="00F24DA7" w:rsidRDefault="00F47052" w:rsidP="00F47052">
      <w:pPr>
        <w:pStyle w:val="ListParagraph"/>
        <w:numPr>
          <w:ilvl w:val="0"/>
          <w:numId w:val="7"/>
        </w:numPr>
        <w:contextualSpacing/>
        <w:rPr>
          <w:rFonts w:asciiTheme="minorHAnsi" w:hAnsiTheme="minorHAnsi" w:cstheme="minorHAnsi"/>
        </w:rPr>
      </w:pPr>
      <w:r w:rsidRPr="00F24DA7">
        <w:rPr>
          <w:rFonts w:asciiTheme="minorHAnsi" w:hAnsiTheme="minorHAnsi" w:cstheme="minorHAnsi"/>
        </w:rPr>
        <w:t xml:space="preserve">Public relations boost </w:t>
      </w:r>
    </w:p>
    <w:p w14:paraId="60BD4FE8" w14:textId="77777777" w:rsidR="00F47052" w:rsidRPr="00F24DA7" w:rsidRDefault="00F47052" w:rsidP="00F47052">
      <w:pPr>
        <w:pStyle w:val="ListParagraph"/>
        <w:rPr>
          <w:rFonts w:asciiTheme="minorHAnsi" w:hAnsiTheme="minorHAnsi" w:cstheme="minorHAnsi"/>
        </w:rPr>
      </w:pPr>
      <w:r w:rsidRPr="00F24DA7">
        <w:rPr>
          <w:rFonts w:asciiTheme="minorHAnsi" w:hAnsiTheme="minorHAnsi" w:cstheme="minorHAnsi"/>
        </w:rPr>
        <w:t>Being designated as a high-value maternity network may bring distinction to selected hospitals and health systems.  The purchaser can also commit to advertising selected hospitals to its membership through its internal and public communications and advertising.</w:t>
      </w:r>
    </w:p>
    <w:p w14:paraId="59AF6A38" w14:textId="77777777" w:rsidR="00F47052" w:rsidRPr="00F24DA7" w:rsidRDefault="00F47052" w:rsidP="00F47052">
      <w:pPr>
        <w:spacing w:after="0" w:line="240" w:lineRule="auto"/>
        <w:rPr>
          <w:rFonts w:asciiTheme="minorHAnsi" w:hAnsiTheme="minorHAnsi" w:cstheme="minorHAnsi"/>
        </w:rPr>
      </w:pPr>
    </w:p>
    <w:p w14:paraId="398AD89C" w14:textId="77777777" w:rsidR="00F47052" w:rsidRPr="00F24DA7" w:rsidRDefault="00F47052" w:rsidP="00F47052">
      <w:pPr>
        <w:numPr>
          <w:ilvl w:val="0"/>
          <w:numId w:val="7"/>
        </w:numPr>
        <w:spacing w:after="0" w:line="240" w:lineRule="auto"/>
        <w:rPr>
          <w:rFonts w:asciiTheme="minorHAnsi" w:hAnsiTheme="minorHAnsi" w:cstheme="minorHAnsi"/>
        </w:rPr>
      </w:pPr>
      <w:r w:rsidRPr="00F24DA7">
        <w:rPr>
          <w:rFonts w:asciiTheme="minorHAnsi" w:hAnsiTheme="minorHAnsi" w:cstheme="minorHAnsi"/>
        </w:rPr>
        <w:t xml:space="preserve">Access to better data </w:t>
      </w:r>
    </w:p>
    <w:p w14:paraId="1EA4B297" w14:textId="77777777" w:rsidR="00F47052" w:rsidRPr="00F24DA7" w:rsidRDefault="00F47052" w:rsidP="00F47052">
      <w:pPr>
        <w:spacing w:after="0" w:line="240" w:lineRule="auto"/>
        <w:ind w:left="720"/>
        <w:rPr>
          <w:rFonts w:asciiTheme="minorHAnsi" w:hAnsiTheme="minorHAnsi" w:cstheme="minorHAnsi"/>
        </w:rPr>
      </w:pPr>
      <w:r w:rsidRPr="00F24DA7">
        <w:rPr>
          <w:rFonts w:asciiTheme="minorHAnsi" w:hAnsiTheme="minorHAnsi" w:cstheme="minorHAnsi"/>
        </w:rPr>
        <w:t>The RFI lays out reporting requirements that participating hospitals must adhere to, but it’s a two-way street.  The purchaser will use its own claims data to provide meaningful reporting to the health systems.</w:t>
      </w:r>
    </w:p>
    <w:p w14:paraId="2F63FD22" w14:textId="77777777" w:rsidR="00F47052" w:rsidRPr="00F24DA7" w:rsidRDefault="00F47052" w:rsidP="00F47052">
      <w:pPr>
        <w:spacing w:after="0" w:line="240" w:lineRule="auto"/>
        <w:ind w:left="720"/>
        <w:rPr>
          <w:rFonts w:asciiTheme="minorHAnsi" w:hAnsiTheme="minorHAnsi" w:cstheme="minorHAnsi"/>
        </w:rPr>
      </w:pPr>
    </w:p>
    <w:p w14:paraId="29F2D69F" w14:textId="77777777" w:rsidR="00F47052" w:rsidRPr="00F24DA7" w:rsidRDefault="00F47052" w:rsidP="00F47052">
      <w:pPr>
        <w:numPr>
          <w:ilvl w:val="0"/>
          <w:numId w:val="7"/>
        </w:numPr>
        <w:spacing w:after="0" w:line="240" w:lineRule="auto"/>
        <w:rPr>
          <w:rFonts w:asciiTheme="minorHAnsi" w:hAnsiTheme="minorHAnsi" w:cstheme="minorHAnsi"/>
        </w:rPr>
      </w:pPr>
      <w:r w:rsidRPr="00F24DA7">
        <w:rPr>
          <w:rFonts w:asciiTheme="minorHAnsi" w:hAnsiTheme="minorHAnsi" w:cstheme="minorHAnsi"/>
        </w:rPr>
        <w:t xml:space="preserve">Opportunity to explore alternative payment models (APMs): </w:t>
      </w:r>
    </w:p>
    <w:p w14:paraId="6420605C" w14:textId="77777777" w:rsidR="00F47052" w:rsidRPr="00F24DA7" w:rsidRDefault="00F47052" w:rsidP="00F47052">
      <w:pPr>
        <w:spacing w:after="0" w:line="240" w:lineRule="auto"/>
        <w:ind w:left="720"/>
        <w:rPr>
          <w:rFonts w:asciiTheme="minorHAnsi" w:hAnsiTheme="minorHAnsi" w:cstheme="minorHAnsi"/>
        </w:rPr>
      </w:pPr>
      <w:r w:rsidRPr="00F24DA7">
        <w:rPr>
          <w:rFonts w:asciiTheme="minorHAnsi" w:hAnsiTheme="minorHAnsi" w:cstheme="minorHAnsi"/>
        </w:rPr>
        <w:t>Many provider organizations are interested in exploring alternative payment models that provide opportunity for greater accountability and autonomy. However, they may be leery of committing to a large health plan and putting a large portion of its revenue at risk.  An APM contract with a purchaser, on the other hand, grants the provider organization an opportunity to experiment on a more limited scale.</w:t>
      </w:r>
      <w:r w:rsidRPr="00F24DA7" w:rsidDel="00112601">
        <w:rPr>
          <w:rFonts w:asciiTheme="minorHAnsi" w:hAnsiTheme="minorHAnsi" w:cstheme="minorHAnsi"/>
        </w:rPr>
        <w:t xml:space="preserve"> </w:t>
      </w:r>
    </w:p>
    <w:p w14:paraId="491D9804" w14:textId="77777777" w:rsidR="00F47052" w:rsidRPr="00F24DA7" w:rsidRDefault="00F47052" w:rsidP="00F47052">
      <w:pPr>
        <w:spacing w:after="0" w:line="240" w:lineRule="auto"/>
        <w:ind w:left="720"/>
        <w:rPr>
          <w:rFonts w:asciiTheme="minorHAnsi" w:hAnsiTheme="minorHAnsi" w:cstheme="minorHAnsi"/>
        </w:rPr>
      </w:pPr>
    </w:p>
    <w:p w14:paraId="0F5DAF31" w14:textId="77777777" w:rsidR="00F47052" w:rsidRPr="00F24DA7" w:rsidRDefault="00F47052" w:rsidP="00F47052">
      <w:pPr>
        <w:numPr>
          <w:ilvl w:val="0"/>
          <w:numId w:val="7"/>
        </w:numPr>
        <w:spacing w:after="0" w:line="240" w:lineRule="auto"/>
        <w:rPr>
          <w:rFonts w:asciiTheme="minorHAnsi" w:hAnsiTheme="minorHAnsi" w:cstheme="minorHAnsi"/>
        </w:rPr>
      </w:pPr>
      <w:r w:rsidRPr="00F24DA7">
        <w:rPr>
          <w:rFonts w:asciiTheme="minorHAnsi" w:hAnsiTheme="minorHAnsi" w:cstheme="minorHAnsi"/>
        </w:rPr>
        <w:t xml:space="preserve">Opportunity to improve outcomes for mother and baby: </w:t>
      </w:r>
    </w:p>
    <w:p w14:paraId="1816A732" w14:textId="77777777" w:rsidR="00F47052" w:rsidRPr="00F24DA7" w:rsidRDefault="00F47052" w:rsidP="00F47052">
      <w:pPr>
        <w:spacing w:after="0" w:line="240" w:lineRule="auto"/>
        <w:ind w:left="720"/>
        <w:rPr>
          <w:rFonts w:asciiTheme="minorHAnsi" w:hAnsiTheme="minorHAnsi" w:cstheme="minorHAnsi"/>
        </w:rPr>
      </w:pPr>
      <w:r w:rsidRPr="00F24DA7">
        <w:rPr>
          <w:rFonts w:asciiTheme="minorHAnsi" w:hAnsiTheme="minorHAnsi" w:cstheme="minorHAnsi"/>
        </w:rPr>
        <w:t>Through the HVMN, the provider organization gains a willing and responsive partner, committed to support health system efforts to reduce disparities in maternity and to pioneer approaches toward improving maternal quality and experiential outcomes.</w:t>
      </w:r>
    </w:p>
    <w:p w14:paraId="3818EC13" w14:textId="77777777" w:rsidR="00F47052" w:rsidRPr="00F24DA7" w:rsidRDefault="00F47052" w:rsidP="00F47052">
      <w:pPr>
        <w:rPr>
          <w:rFonts w:asciiTheme="minorHAnsi" w:hAnsiTheme="minorHAnsi" w:cstheme="minorHAnsi"/>
          <w:sz w:val="20"/>
          <w:szCs w:val="20"/>
          <w:highlight w:val="lightGray"/>
        </w:rPr>
      </w:pPr>
    </w:p>
    <w:p w14:paraId="2F25769C" w14:textId="77777777" w:rsidR="00F47052" w:rsidRDefault="00F47052" w:rsidP="00F47052">
      <w:pPr>
        <w:pStyle w:val="Heading2"/>
      </w:pPr>
      <w:r>
        <w:t>Sample Email Template</w:t>
      </w:r>
    </w:p>
    <w:p w14:paraId="4B44131E" w14:textId="77777777" w:rsidR="00F47052" w:rsidRPr="00DB6F15" w:rsidRDefault="00F47052" w:rsidP="00F47052">
      <w:pPr>
        <w:rPr>
          <w:i/>
          <w:iCs/>
        </w:rPr>
      </w:pPr>
      <w:r>
        <w:rPr>
          <w:i/>
          <w:iCs/>
        </w:rPr>
        <w:t>The email below offers a template that purchasers can use as a starting point for their initial outreach to hospitals.  Purchasers should replace phrases highlighted in yellow with their own information.  Naturally, purchasers may wish to adapt the messaging and wording in this email according to their unique circumstances.</w:t>
      </w:r>
    </w:p>
    <w:p w14:paraId="0D9E3494" w14:textId="77777777" w:rsidR="00F47052" w:rsidRPr="00F24DA7" w:rsidRDefault="00F47052" w:rsidP="00F47052">
      <w:pPr>
        <w:rPr>
          <w:rFonts w:ascii="Arial" w:hAnsi="Arial" w:cs="Arial"/>
          <w:color w:val="000000"/>
        </w:rPr>
      </w:pPr>
      <w:r w:rsidRPr="00F24DA7">
        <w:rPr>
          <w:rFonts w:ascii="Arial" w:hAnsi="Arial" w:cs="Arial"/>
          <w:color w:val="000000"/>
          <w:shd w:val="clear" w:color="auto" w:fill="FFFFFF"/>
        </w:rPr>
        <w:t>Good Afternoon:</w:t>
      </w:r>
      <w:r w:rsidRPr="00F24DA7">
        <w:rPr>
          <w:rFonts w:ascii="Arial" w:hAnsi="Arial" w:cs="Arial"/>
          <w:color w:val="000000"/>
        </w:rPr>
        <w:br/>
      </w:r>
      <w:r w:rsidRPr="00F24DA7">
        <w:rPr>
          <w:rFonts w:ascii="Arial" w:hAnsi="Arial" w:cs="Arial"/>
          <w:color w:val="000000"/>
        </w:rPr>
        <w:br/>
      </w:r>
      <w:r w:rsidRPr="00F24DA7">
        <w:rPr>
          <w:rFonts w:ascii="Arial" w:hAnsi="Arial" w:cs="Arial"/>
          <w:color w:val="000000"/>
          <w:shd w:val="clear" w:color="auto" w:fill="FFFFFF"/>
        </w:rPr>
        <w:t xml:space="preserve">I’m pleased to let you know that </w:t>
      </w:r>
      <w:r w:rsidRPr="00F24DA7">
        <w:rPr>
          <w:rFonts w:ascii="Arial" w:hAnsi="Arial" w:cs="Arial"/>
          <w:color w:val="000000"/>
          <w:highlight w:val="yellow"/>
          <w:shd w:val="clear" w:color="auto" w:fill="FFFFFF"/>
        </w:rPr>
        <w:t>&lt;Purchaser&gt;</w:t>
      </w:r>
      <w:r w:rsidRPr="00F24DA7">
        <w:rPr>
          <w:rFonts w:ascii="Arial" w:hAnsi="Arial" w:cs="Arial"/>
          <w:color w:val="000000"/>
          <w:shd w:val="clear" w:color="auto" w:fill="FFFFFF"/>
        </w:rPr>
        <w:t xml:space="preserve"> is releasing a Request for Information (RFI) to select hospitals and health systems for </w:t>
      </w:r>
      <w:r w:rsidRPr="00F24DA7">
        <w:rPr>
          <w:rFonts w:ascii="Arial" w:hAnsi="Arial" w:cs="Arial"/>
          <w:color w:val="000000"/>
          <w:highlight w:val="yellow"/>
          <w:shd w:val="clear" w:color="auto" w:fill="FFFFFF"/>
        </w:rPr>
        <w:t>&lt;Purchaser’s&gt;</w:t>
      </w:r>
      <w:r w:rsidRPr="00F24DA7">
        <w:rPr>
          <w:rFonts w:ascii="Arial" w:hAnsi="Arial" w:cs="Arial"/>
          <w:color w:val="000000"/>
          <w:shd w:val="clear" w:color="auto" w:fill="FFFFFF"/>
        </w:rPr>
        <w:t xml:space="preserve"> High Value Maternity Network. This network will be composed of select hospitals in </w:t>
      </w:r>
      <w:r w:rsidRPr="00F24DA7">
        <w:rPr>
          <w:rFonts w:ascii="Arial" w:hAnsi="Arial" w:cs="Arial"/>
          <w:color w:val="000000"/>
          <w:highlight w:val="yellow"/>
          <w:shd w:val="clear" w:color="auto" w:fill="FFFFFF"/>
        </w:rPr>
        <w:t>&lt;Purchaser’s market&gt;</w:t>
      </w:r>
      <w:r w:rsidRPr="00F24DA7">
        <w:rPr>
          <w:rFonts w:ascii="Arial" w:hAnsi="Arial" w:cs="Arial"/>
          <w:color w:val="000000"/>
          <w:shd w:val="clear" w:color="auto" w:fill="FFFFFF"/>
        </w:rPr>
        <w:t xml:space="preserve"> and their affiliated providers who are committed to partnering with the </w:t>
      </w:r>
      <w:r w:rsidRPr="00F24DA7">
        <w:rPr>
          <w:rFonts w:ascii="Arial" w:hAnsi="Arial" w:cs="Arial"/>
          <w:color w:val="000000"/>
          <w:highlight w:val="yellow"/>
          <w:shd w:val="clear" w:color="auto" w:fill="FFFFFF"/>
        </w:rPr>
        <w:t>&lt;Purchaser&gt;</w:t>
      </w:r>
      <w:r w:rsidRPr="00F24DA7">
        <w:rPr>
          <w:rFonts w:ascii="Arial" w:hAnsi="Arial" w:cs="Arial"/>
          <w:color w:val="000000"/>
          <w:shd w:val="clear" w:color="auto" w:fill="FFFFFF"/>
        </w:rPr>
        <w:t xml:space="preserve"> to increase maternal quality and safety.</w:t>
      </w:r>
      <w:r w:rsidRPr="00F24DA7">
        <w:rPr>
          <w:rFonts w:ascii="Arial" w:hAnsi="Arial" w:cs="Arial"/>
          <w:color w:val="000000"/>
        </w:rPr>
        <w:br/>
      </w:r>
    </w:p>
    <w:p w14:paraId="0953BA9B" w14:textId="77777777" w:rsidR="00F47052" w:rsidRPr="00F24DA7" w:rsidRDefault="00F47052" w:rsidP="00F47052">
      <w:pPr>
        <w:rPr>
          <w:rFonts w:ascii="Arial" w:hAnsi="Arial" w:cs="Arial"/>
          <w:color w:val="000000"/>
        </w:rPr>
      </w:pPr>
      <w:r w:rsidRPr="00F24DA7">
        <w:rPr>
          <w:rFonts w:ascii="Arial" w:hAnsi="Arial" w:cs="Arial"/>
          <w:color w:val="000000"/>
        </w:rPr>
        <w:t xml:space="preserve">Through this clinical partnership </w:t>
      </w:r>
      <w:r w:rsidRPr="00F24DA7">
        <w:rPr>
          <w:rFonts w:ascii="Arial" w:hAnsi="Arial" w:cs="Arial"/>
          <w:color w:val="000000"/>
          <w:highlight w:val="yellow"/>
        </w:rPr>
        <w:t>&lt;Purchaser&gt;</w:t>
      </w:r>
      <w:r w:rsidRPr="00F24DA7">
        <w:rPr>
          <w:rFonts w:ascii="Arial" w:hAnsi="Arial" w:cs="Arial"/>
          <w:color w:val="000000"/>
        </w:rPr>
        <w:t xml:space="preserve"> </w:t>
      </w:r>
      <w:proofErr w:type="gramStart"/>
      <w:r w:rsidRPr="00F24DA7">
        <w:rPr>
          <w:rFonts w:ascii="Arial" w:hAnsi="Arial" w:cs="Arial"/>
          <w:color w:val="000000"/>
        </w:rPr>
        <w:t>has the ability to</w:t>
      </w:r>
      <w:proofErr w:type="gramEnd"/>
      <w:r w:rsidRPr="00F24DA7">
        <w:rPr>
          <w:rFonts w:ascii="Arial" w:hAnsi="Arial" w:cs="Arial"/>
          <w:color w:val="000000"/>
        </w:rPr>
        <w:t xml:space="preserve">: </w:t>
      </w:r>
    </w:p>
    <w:p w14:paraId="6C2A7F8F" w14:textId="77777777" w:rsidR="00F47052" w:rsidRPr="00F24DA7" w:rsidRDefault="00F47052" w:rsidP="00F47052">
      <w:pPr>
        <w:pStyle w:val="ListParagraph"/>
        <w:numPr>
          <w:ilvl w:val="0"/>
          <w:numId w:val="8"/>
        </w:numPr>
        <w:spacing w:after="160" w:line="259" w:lineRule="auto"/>
        <w:contextualSpacing/>
        <w:rPr>
          <w:rFonts w:ascii="Arial" w:hAnsi="Arial" w:cs="Arial"/>
          <w:color w:val="000000"/>
          <w:sz w:val="22"/>
          <w:szCs w:val="22"/>
        </w:rPr>
      </w:pPr>
      <w:r w:rsidRPr="00F24DA7">
        <w:rPr>
          <w:rFonts w:ascii="Arial" w:hAnsi="Arial" w:cs="Arial"/>
          <w:color w:val="000000"/>
          <w:sz w:val="22"/>
          <w:szCs w:val="22"/>
        </w:rPr>
        <w:t>Work collaboratively with you toward a common goal of improving maternal outcomes and reducing disparities in care</w:t>
      </w:r>
    </w:p>
    <w:p w14:paraId="356C7415" w14:textId="77777777" w:rsidR="00F47052" w:rsidRPr="00F24DA7" w:rsidRDefault="00F47052" w:rsidP="00F47052">
      <w:pPr>
        <w:pStyle w:val="ListParagraph"/>
        <w:numPr>
          <w:ilvl w:val="0"/>
          <w:numId w:val="8"/>
        </w:numPr>
        <w:spacing w:after="160" w:line="259" w:lineRule="auto"/>
        <w:contextualSpacing/>
        <w:rPr>
          <w:rFonts w:ascii="Arial" w:hAnsi="Arial" w:cs="Arial"/>
          <w:color w:val="000000"/>
          <w:sz w:val="22"/>
          <w:szCs w:val="22"/>
        </w:rPr>
      </w:pPr>
      <w:r w:rsidRPr="00F24DA7">
        <w:rPr>
          <w:rFonts w:ascii="Arial" w:hAnsi="Arial" w:cs="Arial"/>
          <w:color w:val="000000"/>
          <w:sz w:val="22"/>
          <w:szCs w:val="22"/>
        </w:rPr>
        <w:t>Increase patient volume and utilization at your facility, through a network and benefit design strategy that designates your facility as a preferred site of care</w:t>
      </w:r>
    </w:p>
    <w:p w14:paraId="1CAE0918" w14:textId="77777777" w:rsidR="00F47052" w:rsidRPr="00F24DA7" w:rsidRDefault="00F47052" w:rsidP="00F47052">
      <w:pPr>
        <w:pStyle w:val="ListParagraph"/>
        <w:numPr>
          <w:ilvl w:val="0"/>
          <w:numId w:val="8"/>
        </w:numPr>
        <w:spacing w:after="160" w:line="259" w:lineRule="auto"/>
        <w:contextualSpacing/>
        <w:rPr>
          <w:rFonts w:ascii="Arial" w:hAnsi="Arial" w:cs="Arial"/>
          <w:color w:val="000000"/>
          <w:sz w:val="22"/>
          <w:szCs w:val="22"/>
        </w:rPr>
      </w:pPr>
      <w:r w:rsidRPr="00F24DA7">
        <w:rPr>
          <w:rFonts w:ascii="Arial" w:hAnsi="Arial" w:cs="Arial"/>
          <w:color w:val="000000"/>
          <w:sz w:val="22"/>
          <w:szCs w:val="22"/>
        </w:rPr>
        <w:t xml:space="preserve">Directly advertise our partnership to &lt;Purchaser&gt;’s plan participants through multiple channels that could include the </w:t>
      </w:r>
      <w:r w:rsidRPr="00F24DA7">
        <w:rPr>
          <w:rFonts w:ascii="Arial" w:hAnsi="Arial" w:cs="Arial"/>
          <w:color w:val="000000"/>
          <w:sz w:val="22"/>
          <w:szCs w:val="22"/>
          <w:highlight w:val="yellow"/>
        </w:rPr>
        <w:t>&lt;Purchaser’s&gt;</w:t>
      </w:r>
      <w:r w:rsidRPr="00F24DA7">
        <w:rPr>
          <w:rFonts w:ascii="Arial" w:hAnsi="Arial" w:cs="Arial"/>
          <w:color w:val="000000"/>
          <w:sz w:val="22"/>
          <w:szCs w:val="22"/>
        </w:rPr>
        <w:t xml:space="preserve"> call center, network directory, direct mail, website and social media; </w:t>
      </w:r>
    </w:p>
    <w:p w14:paraId="5B9FB1C9" w14:textId="77777777" w:rsidR="00F47052" w:rsidRPr="00F24DA7" w:rsidRDefault="00F47052" w:rsidP="00F47052">
      <w:pPr>
        <w:pStyle w:val="ListParagraph"/>
        <w:numPr>
          <w:ilvl w:val="0"/>
          <w:numId w:val="8"/>
        </w:numPr>
        <w:spacing w:after="160" w:line="259" w:lineRule="auto"/>
        <w:contextualSpacing/>
        <w:rPr>
          <w:rFonts w:ascii="Arial" w:hAnsi="Arial" w:cs="Arial"/>
          <w:color w:val="000000"/>
          <w:sz w:val="22"/>
          <w:szCs w:val="22"/>
        </w:rPr>
      </w:pPr>
      <w:r w:rsidRPr="00F24DA7">
        <w:rPr>
          <w:rFonts w:ascii="Arial" w:hAnsi="Arial" w:cs="Arial"/>
          <w:color w:val="000000"/>
          <w:sz w:val="22"/>
          <w:szCs w:val="22"/>
        </w:rPr>
        <w:lastRenderedPageBreak/>
        <w:t>Elevate your hospital’s brand through the recognition and promotion of your institution’s commitment to advancing maternity care quality in our region – specifically with respect to improving health equity and reducing racial health disparities;</w:t>
      </w:r>
    </w:p>
    <w:p w14:paraId="18746495" w14:textId="77777777" w:rsidR="00F47052" w:rsidRPr="00F24DA7" w:rsidRDefault="00F47052" w:rsidP="00F47052">
      <w:pPr>
        <w:pStyle w:val="ListParagraph"/>
        <w:numPr>
          <w:ilvl w:val="0"/>
          <w:numId w:val="8"/>
        </w:numPr>
        <w:spacing w:after="160" w:line="259" w:lineRule="auto"/>
        <w:contextualSpacing/>
        <w:rPr>
          <w:rFonts w:ascii="Arial" w:hAnsi="Arial" w:cs="Arial"/>
          <w:color w:val="000000"/>
          <w:sz w:val="22"/>
          <w:szCs w:val="22"/>
        </w:rPr>
      </w:pPr>
      <w:r w:rsidRPr="00F24DA7">
        <w:rPr>
          <w:rFonts w:ascii="Arial" w:hAnsi="Arial" w:cs="Arial"/>
          <w:color w:val="000000"/>
          <w:sz w:val="22"/>
          <w:szCs w:val="22"/>
        </w:rPr>
        <w:t>Enter into direct contracts through alternative payment models such as bundled payments for episodes, which cover an index episode and all related professional and facility costs, plus a quality guarantee on services; and</w:t>
      </w:r>
    </w:p>
    <w:p w14:paraId="44436592" w14:textId="77777777" w:rsidR="00F47052" w:rsidRPr="00F24DA7" w:rsidRDefault="00F47052" w:rsidP="00F47052">
      <w:pPr>
        <w:pStyle w:val="ListParagraph"/>
        <w:numPr>
          <w:ilvl w:val="0"/>
          <w:numId w:val="8"/>
        </w:numPr>
        <w:spacing w:after="160" w:line="259" w:lineRule="auto"/>
        <w:contextualSpacing/>
        <w:rPr>
          <w:rFonts w:ascii="Arial" w:hAnsi="Arial" w:cs="Arial"/>
          <w:color w:val="000000"/>
          <w:sz w:val="22"/>
          <w:szCs w:val="22"/>
        </w:rPr>
      </w:pPr>
      <w:r w:rsidRPr="00F24DA7">
        <w:rPr>
          <w:rFonts w:ascii="Arial" w:hAnsi="Arial" w:cs="Arial"/>
          <w:color w:val="000000"/>
          <w:sz w:val="22"/>
          <w:szCs w:val="22"/>
        </w:rPr>
        <w:t>Provide you with de-identified information about patient outcomes related to episodes of care based on comprehensive claims data.</w:t>
      </w:r>
    </w:p>
    <w:p w14:paraId="5A2F40D2" w14:textId="77777777" w:rsidR="00F47052" w:rsidRPr="00F24DA7" w:rsidRDefault="00F47052" w:rsidP="00F47052">
      <w:pPr>
        <w:rPr>
          <w:rFonts w:ascii="Arial" w:hAnsi="Arial" w:cs="Arial"/>
          <w:color w:val="000000"/>
          <w:shd w:val="clear" w:color="auto" w:fill="FFFFFF"/>
        </w:rPr>
      </w:pPr>
      <w:r w:rsidRPr="00F24DA7">
        <w:rPr>
          <w:rFonts w:ascii="Arial" w:hAnsi="Arial" w:cs="Arial"/>
          <w:color w:val="000000"/>
          <w:shd w:val="clear" w:color="auto" w:fill="FFFFFF"/>
        </w:rPr>
        <w:t xml:space="preserve">If you are interested in bidding for participation, we invite you to review and complete the attached RFI and correlating reporting templates found within the attached Excel document. Note that this is a formal RFI process that maintains several key dates (listed within the RFI and highlighted below). The first deadline will be this coming </w:t>
      </w:r>
      <w:r w:rsidRPr="00F24DA7">
        <w:rPr>
          <w:rFonts w:ascii="Arial" w:hAnsi="Arial" w:cs="Arial"/>
          <w:color w:val="000000"/>
          <w:highlight w:val="yellow"/>
          <w:shd w:val="clear" w:color="auto" w:fill="FFFFFF"/>
        </w:rPr>
        <w:t>&lt;Insert Date&gt;,</w:t>
      </w:r>
      <w:r w:rsidRPr="00F24DA7">
        <w:rPr>
          <w:rFonts w:ascii="Arial" w:hAnsi="Arial" w:cs="Arial"/>
          <w:color w:val="000000"/>
          <w:shd w:val="clear" w:color="auto" w:fill="FFFFFF"/>
        </w:rPr>
        <w:t xml:space="preserve"> where we will require the completed Intent to Respond (located within RFI) to be </w:t>
      </w:r>
      <w:proofErr w:type="gramStart"/>
      <w:r w:rsidRPr="00F24DA7">
        <w:rPr>
          <w:rFonts w:ascii="Arial" w:hAnsi="Arial" w:cs="Arial"/>
          <w:color w:val="000000"/>
          <w:shd w:val="clear" w:color="auto" w:fill="FFFFFF"/>
        </w:rPr>
        <w:t>returned back</w:t>
      </w:r>
      <w:proofErr w:type="gramEnd"/>
      <w:r w:rsidRPr="00F24DA7">
        <w:rPr>
          <w:rFonts w:ascii="Arial" w:hAnsi="Arial" w:cs="Arial"/>
          <w:color w:val="000000"/>
          <w:shd w:val="clear" w:color="auto" w:fill="FFFFFF"/>
        </w:rPr>
        <w:t xml:space="preserve"> to </w:t>
      </w:r>
      <w:r w:rsidRPr="00F24DA7">
        <w:rPr>
          <w:rFonts w:ascii="Arial" w:hAnsi="Arial" w:cs="Arial"/>
          <w:color w:val="000000"/>
          <w:highlight w:val="yellow"/>
          <w:shd w:val="clear" w:color="auto" w:fill="FFFFFF"/>
        </w:rPr>
        <w:t>&lt;Purchaser&gt;.</w:t>
      </w:r>
      <w:r w:rsidRPr="00F24DA7">
        <w:rPr>
          <w:rFonts w:ascii="Arial" w:hAnsi="Arial" w:cs="Arial"/>
          <w:color w:val="000000"/>
          <w:shd w:val="clear" w:color="auto" w:fill="FFFFFF"/>
        </w:rPr>
        <w:t xml:space="preserve"> Bidders who have questions about the RFI are encouraged to submit them back to us, as we will hosting a bidders’ conference on &lt;Insert Date&gt; to address questions raised.</w:t>
      </w:r>
      <w:r w:rsidRPr="00F24DA7">
        <w:rPr>
          <w:rFonts w:ascii="Arial" w:hAnsi="Arial" w:cs="Arial"/>
          <w:color w:val="000000"/>
        </w:rPr>
        <w:br/>
      </w:r>
      <w:r w:rsidRPr="00F24DA7">
        <w:rPr>
          <w:rFonts w:ascii="Arial" w:hAnsi="Arial" w:cs="Arial"/>
          <w:color w:val="000000"/>
        </w:rPr>
        <w:br/>
      </w:r>
      <w:r w:rsidRPr="00F24DA7">
        <w:rPr>
          <w:rFonts w:ascii="Arial" w:hAnsi="Arial" w:cs="Arial"/>
          <w:color w:val="000000"/>
          <w:shd w:val="clear" w:color="auto" w:fill="FFFFFF"/>
        </w:rPr>
        <w:t xml:space="preserve">We are excited by the opportunity to potentially partner with your system in this critical work. </w:t>
      </w:r>
    </w:p>
    <w:p w14:paraId="5392EC08" w14:textId="0B8EC8B2" w:rsidR="00F47052" w:rsidRPr="0090590B" w:rsidRDefault="00F47052" w:rsidP="00F47052">
      <w:pPr>
        <w:rPr>
          <w:rFonts w:ascii="Tahoma" w:hAnsi="Tahoma" w:cs="Tahoma"/>
          <w:color w:val="000000"/>
          <w:sz w:val="20"/>
          <w:szCs w:val="20"/>
          <w:shd w:val="clear" w:color="auto" w:fill="FFFFFF"/>
        </w:rPr>
      </w:pPr>
      <w:r w:rsidRPr="00F24DA7">
        <w:rPr>
          <w:rFonts w:ascii="Arial" w:hAnsi="Arial" w:cs="Arial"/>
          <w:color w:val="000000"/>
          <w:shd w:val="clear" w:color="auto" w:fill="FFFFFF"/>
        </w:rPr>
        <w:t>Looking forward to receiving your Intent to Respond within the upcoming days.</w:t>
      </w:r>
      <w:r w:rsidRPr="00F24DA7">
        <w:rPr>
          <w:rFonts w:ascii="Arial" w:hAnsi="Arial" w:cs="Arial"/>
          <w:color w:val="000000"/>
        </w:rPr>
        <w:br/>
      </w:r>
    </w:p>
    <w:p w14:paraId="14187873" w14:textId="00C33686" w:rsidR="00FB147C" w:rsidRPr="00477CCB" w:rsidRDefault="00FB147C" w:rsidP="00F47052">
      <w:pPr>
        <w:pStyle w:val="Subtitle"/>
        <w:rPr>
          <w:rFonts w:ascii="Raleway" w:hAnsi="Raleway" w:cstheme="minorHAnsi"/>
        </w:rPr>
      </w:pPr>
    </w:p>
    <w:sectPr w:rsidR="00FB147C" w:rsidRPr="00477CCB" w:rsidSect="009001E3">
      <w:footerReference w:type="defaul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B11D0" w14:textId="77777777" w:rsidR="005E77C8" w:rsidRDefault="005E77C8" w:rsidP="00FA2678">
      <w:pPr>
        <w:spacing w:after="0" w:line="240" w:lineRule="auto"/>
      </w:pPr>
      <w:r>
        <w:separator/>
      </w:r>
    </w:p>
  </w:endnote>
  <w:endnote w:type="continuationSeparator" w:id="0">
    <w:p w14:paraId="74C69BA9" w14:textId="77777777" w:rsidR="005E77C8" w:rsidRDefault="005E77C8" w:rsidP="00FA26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Raleway">
    <w:altName w:val="﷽﷽﷽﷽﷽﷽﷽﷽ፀˌ怀"/>
    <w:panose1 w:val="020B0503030101060003"/>
    <w:charset w:val="00"/>
    <w:family w:val="swiss"/>
    <w:pitch w:val="variable"/>
    <w:sig w:usb0="A00002FF" w:usb1="5000205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7752"/>
      <w:docPartObj>
        <w:docPartGallery w:val="Page Numbers (Bottom of Page)"/>
        <w:docPartUnique/>
      </w:docPartObj>
    </w:sdtPr>
    <w:sdtEndPr/>
    <w:sdtContent>
      <w:p w14:paraId="233EA3BF" w14:textId="2C21D278" w:rsidR="00962D46" w:rsidRDefault="00273237">
        <w:pPr>
          <w:pStyle w:val="Footer"/>
          <w:jc w:val="right"/>
        </w:pPr>
        <w:r>
          <w:rPr>
            <w:noProof/>
          </w:rPr>
          <mc:AlternateContent>
            <mc:Choice Requires="wps">
              <w:drawing>
                <wp:anchor distT="0" distB="0" distL="114300" distR="114300" simplePos="0" relativeHeight="251659264" behindDoc="0" locked="0" layoutInCell="1" allowOverlap="1" wp14:anchorId="586340B0" wp14:editId="7996E025">
                  <wp:simplePos x="0" y="0"/>
                  <wp:positionH relativeFrom="column">
                    <wp:posOffset>9525</wp:posOffset>
                  </wp:positionH>
                  <wp:positionV relativeFrom="paragraph">
                    <wp:posOffset>-1905</wp:posOffset>
                  </wp:positionV>
                  <wp:extent cx="5829300" cy="314325"/>
                  <wp:effectExtent l="0" t="0" r="0" b="0"/>
                  <wp:wrapTight wrapText="bothSides">
                    <wp:wrapPolygon edited="0">
                      <wp:start x="-35" y="0"/>
                      <wp:lineTo x="-35" y="20291"/>
                      <wp:lineTo x="21600" y="20291"/>
                      <wp:lineTo x="21600" y="0"/>
                      <wp:lineTo x="-35" y="0"/>
                    </wp:wrapPolygon>
                  </wp:wrapTight>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314325"/>
                          </a:xfrm>
                          <a:prstGeom prst="rect">
                            <a:avLst/>
                          </a:prstGeom>
                          <a:solidFill>
                            <a:srgbClr val="F37321"/>
                          </a:solidFill>
                          <a:ln>
                            <a:noFill/>
                          </a:ln>
                          <a:extLst>
                            <a:ext uri="{91240B29-F687-4F45-9708-019B960494DF}">
                              <a14:hiddenLine xmlns:a14="http://schemas.microsoft.com/office/drawing/2010/main" w="9525">
                                <a:solidFill>
                                  <a:srgbClr val="000000"/>
                                </a:solidFill>
                                <a:miter lim="800000"/>
                                <a:headEnd/>
                                <a:tailEnd/>
                              </a14:hiddenLine>
                            </a:ext>
                          </a:extLst>
                        </wps:spPr>
                        <wps:txbx id="1">
                          <w:txbxContent>
                            <w:p w14:paraId="58110E0A" w14:textId="5A106B98" w:rsidR="009001E3" w:rsidRPr="00C52C07" w:rsidRDefault="009001E3" w:rsidP="009001E3">
                              <w:pPr>
                                <w:pStyle w:val="FooterAddress1"/>
                                <w:rPr>
                                  <w:rFonts w:ascii="Calibri" w:hAnsi="Calibri" w:cs="Calibri"/>
                                  <w:b/>
                                  <w:sz w:val="24"/>
                                </w:rPr>
                              </w:pPr>
                              <w:r>
                                <w:rPr>
                                  <w:rFonts w:ascii="Calibri" w:hAnsi="Calibri" w:cs="Calibri"/>
                                  <w:b/>
                                  <w:sz w:val="24"/>
                                </w:rPr>
                                <w:t>www.catalyze</w:t>
                              </w:r>
                              <w:r w:rsidR="00FB147C">
                                <w:rPr>
                                  <w:rFonts w:ascii="Calibri" w:hAnsi="Calibri" w:cs="Calibri"/>
                                  <w:b/>
                                  <w:sz w:val="24"/>
                                </w:rPr>
                                <w:t>.o</w:t>
                              </w:r>
                              <w:r w:rsidRPr="00C52C07">
                                <w:rPr>
                                  <w:rFonts w:ascii="Calibri" w:hAnsi="Calibri" w:cs="Calibri"/>
                                  <w:b/>
                                  <w:sz w:val="24"/>
                                </w:rPr>
                                <w:t>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6340B0" id="_x0000_t202" coordsize="21600,21600" o:spt="202" path="m,l,21600r21600,l21600,xe">
                  <v:stroke joinstyle="miter"/>
                  <v:path gradientshapeok="t" o:connecttype="rect"/>
                </v:shapetype>
                <v:shape id="_x0000_s1027" type="#_x0000_t202" style="position:absolute;left:0;text-align:left;margin-left:.75pt;margin-top:-.15pt;width:459pt;height:2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" fillcolor="#f37321" stroked="f">
                  <v:textbox style="mso-next-textbox:#Text Box 3">
                    <w:txbxContent>
                      <w:p w14:paraId="58110E0A" w14:textId="5A106B98" w:rsidR="009001E3" w:rsidRPr="00C52C07" w:rsidRDefault="009001E3" w:rsidP="009001E3">
                        <w:pPr>
                          <w:pStyle w:val="FooterAddress1"/>
                          <w:rPr>
                            <w:rFonts w:ascii="Calibri" w:hAnsi="Calibri" w:cs="Calibri"/>
                            <w:b/>
                            <w:sz w:val="24"/>
                          </w:rPr>
                        </w:pPr>
                        <w:r>
                          <w:rPr>
                            <w:rFonts w:ascii="Calibri" w:hAnsi="Calibri" w:cs="Calibri"/>
                            <w:b/>
                            <w:sz w:val="24"/>
                          </w:rPr>
                          <w:t>www.catalyze</w:t>
                        </w:r>
                        <w:r w:rsidR="00FB147C">
                          <w:rPr>
                            <w:rFonts w:ascii="Calibri" w:hAnsi="Calibri" w:cs="Calibri"/>
                            <w:b/>
                            <w:sz w:val="24"/>
                          </w:rPr>
                          <w:t>.o</w:t>
                        </w:r>
                        <w:r w:rsidRPr="00C52C07">
                          <w:rPr>
                            <w:rFonts w:ascii="Calibri" w:hAnsi="Calibri" w:cs="Calibri"/>
                            <w:b/>
                            <w:sz w:val="24"/>
                          </w:rPr>
                          <w:t>rg</w:t>
                        </w:r>
                      </w:p>
                    </w:txbxContent>
                  </v:textbox>
                  <w10:wrap type="tight"/>
                </v:shape>
              </w:pict>
            </mc:Fallback>
          </mc:AlternateContent>
        </w:r>
        <w:r>
          <w:rPr>
            <w:noProof/>
          </w:rPr>
          <mc:AlternateContent>
            <mc:Choice Requires="wps">
              <w:drawing>
                <wp:anchor distT="0" distB="0" distL="114300" distR="114300" simplePos="0" relativeHeight="251660288" behindDoc="0" locked="0" layoutInCell="1" allowOverlap="1" wp14:anchorId="72B5974C" wp14:editId="40F0214F">
                  <wp:simplePos x="0" y="0"/>
                  <wp:positionH relativeFrom="column">
                    <wp:posOffset>685800</wp:posOffset>
                  </wp:positionH>
                  <wp:positionV relativeFrom="paragraph">
                    <wp:posOffset>-1905</wp:posOffset>
                  </wp:positionV>
                  <wp:extent cx="914400" cy="9144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linkedTxbx id="1" seq="1"/>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5974C" id="Text Box 3" o:spid="_x0000_s1027" type="#_x0000_t202" style="position:absolute;left:0;text-align:left;margin-left:54pt;margin-top:-.15pt;width:1in;height: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" filled="f" stroked="f">
                  <v:textbox inset=",7.2pt,,7.2pt">
                    <w:txbxContent/>
                  </v:textbox>
                </v:shape>
              </w:pict>
            </mc:Fallback>
          </mc:AlternateContent>
        </w:r>
        <w:r w:rsidR="00FB147C">
          <w:t xml:space="preserve">   </w:t>
        </w:r>
        <w:r w:rsidR="00C6058C">
          <w:fldChar w:fldCharType="begin"/>
        </w:r>
        <w:r w:rsidR="00C6058C">
          <w:instrText xml:space="preserve"> PAGE   \* MERGEFORMAT </w:instrText>
        </w:r>
        <w:r w:rsidR="00C6058C">
          <w:fldChar w:fldCharType="separate"/>
        </w:r>
        <w:r w:rsidR="00B40D2E">
          <w:rPr>
            <w:noProof/>
          </w:rPr>
          <w:t>2</w:t>
        </w:r>
        <w:r w:rsidR="00C6058C">
          <w:rPr>
            <w:noProof/>
          </w:rPr>
          <w:fldChar w:fldCharType="end"/>
        </w:r>
      </w:p>
    </w:sdtContent>
  </w:sdt>
  <w:p w14:paraId="351CA5BD" w14:textId="77777777" w:rsidR="00962D46" w:rsidRDefault="00962D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F1BC63" w14:textId="0CE32F39" w:rsidR="00962D46" w:rsidRDefault="00273237">
    <w:pPr>
      <w:pStyle w:val="Footer"/>
    </w:pPr>
    <w:r>
      <w:rPr>
        <w:noProof/>
      </w:rPr>
      <mc:AlternateContent>
        <mc:Choice Requires="wps">
          <w:drawing>
            <wp:anchor distT="0" distB="0" distL="114300" distR="114300" simplePos="0" relativeHeight="251658240" behindDoc="0" locked="0" layoutInCell="1" allowOverlap="1" wp14:anchorId="3B7A2603" wp14:editId="22A77293">
              <wp:simplePos x="0" y="0"/>
              <wp:positionH relativeFrom="column">
                <wp:posOffset>51435</wp:posOffset>
              </wp:positionH>
              <wp:positionV relativeFrom="paragraph">
                <wp:posOffset>59055</wp:posOffset>
              </wp:positionV>
              <wp:extent cx="5829300" cy="314325"/>
              <wp:effectExtent l="3810" t="2540" r="0" b="0"/>
              <wp:wrapTight wrapText="bothSides">
                <wp:wrapPolygon edited="0">
                  <wp:start x="-35" y="0"/>
                  <wp:lineTo x="-35" y="20291"/>
                  <wp:lineTo x="21600" y="20291"/>
                  <wp:lineTo x="21600" y="0"/>
                  <wp:lineTo x="-35" y="0"/>
                </wp:wrapPolygon>
              </wp:wrapTigh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29300" cy="314325"/>
                      </a:xfrm>
                      <a:prstGeom prst="rect">
                        <a:avLst/>
                      </a:prstGeom>
                      <a:solidFill>
                        <a:srgbClr val="F37321"/>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70CF60" w14:textId="77777777" w:rsidR="009001E3" w:rsidRPr="00C52C07" w:rsidRDefault="009001E3" w:rsidP="009001E3">
                          <w:pPr>
                            <w:pStyle w:val="FooterAddress1"/>
                            <w:rPr>
                              <w:rFonts w:ascii="Calibri" w:hAnsi="Calibri" w:cs="Calibri"/>
                              <w:b/>
                              <w:sz w:val="24"/>
                            </w:rPr>
                          </w:pPr>
                          <w:r>
                            <w:rPr>
                              <w:rFonts w:ascii="Calibri" w:hAnsi="Calibri" w:cs="Calibri"/>
                              <w:b/>
                              <w:sz w:val="24"/>
                            </w:rPr>
                            <w:t>www.catalyze</w:t>
                          </w:r>
                          <w:r w:rsidR="005B7E65">
                            <w:rPr>
                              <w:rFonts w:ascii="Calibri" w:hAnsi="Calibri" w:cs="Calibri"/>
                              <w:b/>
                              <w:sz w:val="24"/>
                            </w:rPr>
                            <w:t>.</w:t>
                          </w:r>
                          <w:r w:rsidRPr="00C52C07">
                            <w:rPr>
                              <w:rFonts w:ascii="Calibri" w:hAnsi="Calibri" w:cs="Calibri"/>
                              <w:b/>
                              <w:sz w:val="24"/>
                            </w:rPr>
                            <w:t>org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7A2603" id="_x0000_t202" coordsize="21600,21600" o:spt="202" path="m,l,21600r21600,l21600,xe">
              <v:stroke joinstyle="miter"/>
              <v:path gradientshapeok="t" o:connecttype="rect"/>
            </v:shapetype>
            <v:shape id="Text Box 1" o:spid="_x0000_s1029" type="#_x0000_t202" style="position:absolute;margin-left:4.05pt;margin-top:4.65pt;width:459pt;height:2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" fillcolor="#f37321" stroked="f">
              <v:textbox>
                <w:txbxContent>
                  <w:p w14:paraId="0E70CF60" w14:textId="77777777" w:rsidR="009001E3" w:rsidRPr="00C52C07" w:rsidRDefault="009001E3" w:rsidP="009001E3">
                    <w:pPr>
                      <w:pStyle w:val="FooterAddress1"/>
                      <w:rPr>
                        <w:rFonts w:ascii="Calibri" w:hAnsi="Calibri" w:cs="Calibri"/>
                        <w:b/>
                        <w:sz w:val="24"/>
                      </w:rPr>
                    </w:pPr>
                    <w:r>
                      <w:rPr>
                        <w:rFonts w:ascii="Calibri" w:hAnsi="Calibri" w:cs="Calibri"/>
                        <w:b/>
                        <w:sz w:val="24"/>
                      </w:rPr>
                      <w:t>www.catalyze</w:t>
                    </w:r>
                    <w:r w:rsidR="005B7E65">
                      <w:rPr>
                        <w:rFonts w:ascii="Calibri" w:hAnsi="Calibri" w:cs="Calibri"/>
                        <w:b/>
                        <w:sz w:val="24"/>
                      </w:rPr>
                      <w:t>.</w:t>
                    </w:r>
                    <w:r w:rsidRPr="00C52C07">
                      <w:rPr>
                        <w:rFonts w:ascii="Calibri" w:hAnsi="Calibri" w:cs="Calibri"/>
                        <w:b/>
                        <w:sz w:val="24"/>
                      </w:rPr>
                      <w:t>org</w:t>
                    </w:r>
                  </w:p>
                </w:txbxContent>
              </v:textbox>
              <w10:wrap type="tigh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36BE28" w14:textId="77777777" w:rsidR="005E77C8" w:rsidRDefault="005E77C8" w:rsidP="00FA2678">
      <w:pPr>
        <w:spacing w:after="0" w:line="240" w:lineRule="auto"/>
      </w:pPr>
      <w:r>
        <w:separator/>
      </w:r>
    </w:p>
  </w:footnote>
  <w:footnote w:type="continuationSeparator" w:id="0">
    <w:p w14:paraId="0763794A" w14:textId="77777777" w:rsidR="005E77C8" w:rsidRDefault="005E77C8" w:rsidP="00FA26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E40869"/>
    <w:multiLevelType w:val="hybridMultilevel"/>
    <w:tmpl w:val="BD68E99C"/>
    <w:lvl w:ilvl="0" w:tplc="04090003">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hint="default"/>
      </w:rPr>
    </w:lvl>
    <w:lvl w:ilvl="2" w:tplc="04090005">
      <w:start w:val="1"/>
      <w:numFmt w:val="decimal"/>
      <w:lvlText w:val="%3."/>
      <w:lvlJc w:val="left"/>
      <w:pPr>
        <w:tabs>
          <w:tab w:val="num" w:pos="1800"/>
        </w:tabs>
        <w:ind w:left="1800" w:hanging="360"/>
      </w:pPr>
      <w:rPr>
        <w:rFonts w:cs="Times New Roman"/>
      </w:rPr>
    </w:lvl>
    <w:lvl w:ilvl="3" w:tplc="04090001">
      <w:start w:val="1"/>
      <w:numFmt w:val="decimal"/>
      <w:lvlText w:val="%4."/>
      <w:lvlJc w:val="left"/>
      <w:pPr>
        <w:tabs>
          <w:tab w:val="num" w:pos="2520"/>
        </w:tabs>
        <w:ind w:left="2520" w:hanging="360"/>
      </w:pPr>
      <w:rPr>
        <w:rFonts w:cs="Times New Roman"/>
      </w:rPr>
    </w:lvl>
    <w:lvl w:ilvl="4" w:tplc="04090003">
      <w:start w:val="1"/>
      <w:numFmt w:val="decimal"/>
      <w:lvlText w:val="%5."/>
      <w:lvlJc w:val="left"/>
      <w:pPr>
        <w:tabs>
          <w:tab w:val="num" w:pos="3240"/>
        </w:tabs>
        <w:ind w:left="3240" w:hanging="360"/>
      </w:pPr>
      <w:rPr>
        <w:rFonts w:cs="Times New Roman"/>
      </w:rPr>
    </w:lvl>
    <w:lvl w:ilvl="5" w:tplc="04090005">
      <w:start w:val="1"/>
      <w:numFmt w:val="decimal"/>
      <w:lvlText w:val="%6."/>
      <w:lvlJc w:val="left"/>
      <w:pPr>
        <w:tabs>
          <w:tab w:val="num" w:pos="3960"/>
        </w:tabs>
        <w:ind w:left="3960" w:hanging="360"/>
      </w:pPr>
      <w:rPr>
        <w:rFonts w:cs="Times New Roman"/>
      </w:rPr>
    </w:lvl>
    <w:lvl w:ilvl="6" w:tplc="04090001">
      <w:start w:val="1"/>
      <w:numFmt w:val="decimal"/>
      <w:lvlText w:val="%7."/>
      <w:lvlJc w:val="left"/>
      <w:pPr>
        <w:tabs>
          <w:tab w:val="num" w:pos="4680"/>
        </w:tabs>
        <w:ind w:left="4680" w:hanging="360"/>
      </w:pPr>
      <w:rPr>
        <w:rFonts w:cs="Times New Roman"/>
      </w:rPr>
    </w:lvl>
    <w:lvl w:ilvl="7" w:tplc="04090003">
      <w:start w:val="1"/>
      <w:numFmt w:val="decimal"/>
      <w:lvlText w:val="%8."/>
      <w:lvlJc w:val="left"/>
      <w:pPr>
        <w:tabs>
          <w:tab w:val="num" w:pos="5400"/>
        </w:tabs>
        <w:ind w:left="5400" w:hanging="360"/>
      </w:pPr>
      <w:rPr>
        <w:rFonts w:cs="Times New Roman"/>
      </w:rPr>
    </w:lvl>
    <w:lvl w:ilvl="8" w:tplc="04090005">
      <w:start w:val="1"/>
      <w:numFmt w:val="decimal"/>
      <w:lvlText w:val="%9."/>
      <w:lvlJc w:val="left"/>
      <w:pPr>
        <w:tabs>
          <w:tab w:val="num" w:pos="6120"/>
        </w:tabs>
        <w:ind w:left="6120" w:hanging="360"/>
      </w:pPr>
      <w:rPr>
        <w:rFonts w:cs="Times New Roman"/>
      </w:rPr>
    </w:lvl>
  </w:abstractNum>
  <w:abstractNum w:abstractNumId="1" w15:restartNumberingAfterBreak="0">
    <w:nsid w:val="25975781"/>
    <w:multiLevelType w:val="hybridMultilevel"/>
    <w:tmpl w:val="5C3E3D2A"/>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3AE22A8A"/>
    <w:multiLevelType w:val="hybridMultilevel"/>
    <w:tmpl w:val="6CA42642"/>
    <w:lvl w:ilvl="0" w:tplc="04090001">
      <w:start w:val="1"/>
      <w:numFmt w:val="bullet"/>
      <w:lvlText w:val=""/>
      <w:lvlJc w:val="left"/>
      <w:pPr>
        <w:ind w:left="818" w:hanging="360"/>
      </w:pPr>
      <w:rPr>
        <w:rFonts w:ascii="Symbol" w:hAnsi="Symbol" w:hint="default"/>
      </w:rPr>
    </w:lvl>
    <w:lvl w:ilvl="1" w:tplc="04090003">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3" w15:restartNumberingAfterBreak="0">
    <w:nsid w:val="4B331FA9"/>
    <w:multiLevelType w:val="hybridMultilevel"/>
    <w:tmpl w:val="221CD760"/>
    <w:lvl w:ilvl="0" w:tplc="1F8A41F0">
      <w:numFmt w:val="bullet"/>
      <w:lvlText w:val="•"/>
      <w:lvlJc w:val="left"/>
      <w:pPr>
        <w:ind w:left="720" w:hanging="360"/>
      </w:pPr>
      <w:rPr>
        <w:rFonts w:ascii="Tahoma" w:eastAsiaTheme="minorHAns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E253628"/>
    <w:multiLevelType w:val="hybridMultilevel"/>
    <w:tmpl w:val="9904999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4CB0FD4"/>
    <w:multiLevelType w:val="hybridMultilevel"/>
    <w:tmpl w:val="BD424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5344485"/>
    <w:multiLevelType w:val="hybridMultilevel"/>
    <w:tmpl w:val="E58E1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CCC218F"/>
    <w:multiLevelType w:val="hybridMultilevel"/>
    <w:tmpl w:val="50DEB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
  </w:num>
  <w:num w:numId="4">
    <w:abstractNumId w:val="1"/>
  </w:num>
  <w:num w:numId="5">
    <w:abstractNumId w:val="7"/>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9BD"/>
    <w:rsid w:val="000A46C3"/>
    <w:rsid w:val="000B3737"/>
    <w:rsid w:val="000F59E6"/>
    <w:rsid w:val="001568F1"/>
    <w:rsid w:val="0018339A"/>
    <w:rsid w:val="001D6545"/>
    <w:rsid w:val="001D7E45"/>
    <w:rsid w:val="00200D4C"/>
    <w:rsid w:val="002244BD"/>
    <w:rsid w:val="00273237"/>
    <w:rsid w:val="002825EF"/>
    <w:rsid w:val="002A6AAB"/>
    <w:rsid w:val="002C143C"/>
    <w:rsid w:val="002E5598"/>
    <w:rsid w:val="002E5A6A"/>
    <w:rsid w:val="00354F7B"/>
    <w:rsid w:val="003C7BDF"/>
    <w:rsid w:val="003E06D3"/>
    <w:rsid w:val="00426555"/>
    <w:rsid w:val="0047585D"/>
    <w:rsid w:val="00477CCB"/>
    <w:rsid w:val="004B17F5"/>
    <w:rsid w:val="00522F5D"/>
    <w:rsid w:val="005308C2"/>
    <w:rsid w:val="005759B8"/>
    <w:rsid w:val="005B7E65"/>
    <w:rsid w:val="005E77C8"/>
    <w:rsid w:val="00614812"/>
    <w:rsid w:val="00633929"/>
    <w:rsid w:val="00637338"/>
    <w:rsid w:val="006931A8"/>
    <w:rsid w:val="0069344B"/>
    <w:rsid w:val="006A3FCF"/>
    <w:rsid w:val="0070701B"/>
    <w:rsid w:val="00731657"/>
    <w:rsid w:val="00737E61"/>
    <w:rsid w:val="0074236C"/>
    <w:rsid w:val="00751BA1"/>
    <w:rsid w:val="007B12E5"/>
    <w:rsid w:val="007B2776"/>
    <w:rsid w:val="007C05BA"/>
    <w:rsid w:val="007C6EE2"/>
    <w:rsid w:val="0080645E"/>
    <w:rsid w:val="00811F0C"/>
    <w:rsid w:val="008B09BD"/>
    <w:rsid w:val="009001E3"/>
    <w:rsid w:val="00952E1A"/>
    <w:rsid w:val="00962D46"/>
    <w:rsid w:val="00A172A0"/>
    <w:rsid w:val="00A30B25"/>
    <w:rsid w:val="00A360F6"/>
    <w:rsid w:val="00A6051A"/>
    <w:rsid w:val="00A80423"/>
    <w:rsid w:val="00AD5D07"/>
    <w:rsid w:val="00AE1954"/>
    <w:rsid w:val="00B40D2E"/>
    <w:rsid w:val="00BC3E19"/>
    <w:rsid w:val="00BF0F96"/>
    <w:rsid w:val="00C31D7F"/>
    <w:rsid w:val="00C50455"/>
    <w:rsid w:val="00C53677"/>
    <w:rsid w:val="00C6058C"/>
    <w:rsid w:val="00C61BB6"/>
    <w:rsid w:val="00CB6BEB"/>
    <w:rsid w:val="00CC1890"/>
    <w:rsid w:val="00CF07D3"/>
    <w:rsid w:val="00D02773"/>
    <w:rsid w:val="00D263A2"/>
    <w:rsid w:val="00D86307"/>
    <w:rsid w:val="00DD7EC9"/>
    <w:rsid w:val="00E26BDA"/>
    <w:rsid w:val="00E9301F"/>
    <w:rsid w:val="00F05972"/>
    <w:rsid w:val="00F24DA7"/>
    <w:rsid w:val="00F340EF"/>
    <w:rsid w:val="00F41042"/>
    <w:rsid w:val="00F47052"/>
    <w:rsid w:val="00FA2678"/>
    <w:rsid w:val="00FA5706"/>
    <w:rsid w:val="00FB147C"/>
    <w:rsid w:val="00FB5AF4"/>
    <w:rsid w:val="00FD4609"/>
    <w:rsid w:val="00FE30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EA629"/>
  <w15:docId w15:val="{E653DE60-9EDB-4197-AD42-9791A81B4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7EC9"/>
    <w:pPr>
      <w:spacing w:after="200" w:line="276" w:lineRule="auto"/>
    </w:pPr>
  </w:style>
  <w:style w:type="paragraph" w:styleId="Heading1">
    <w:name w:val="heading 1"/>
    <w:basedOn w:val="Normal"/>
    <w:next w:val="Normal"/>
    <w:link w:val="Heading1Char"/>
    <w:uiPriority w:val="9"/>
    <w:qFormat/>
    <w:locked/>
    <w:rsid w:val="00273237"/>
    <w:pPr>
      <w:keepNext/>
      <w:keepLines/>
      <w:spacing w:before="320" w:after="0" w:line="240" w:lineRule="auto"/>
      <w:outlineLvl w:val="0"/>
    </w:pPr>
    <w:rPr>
      <w:rFonts w:asciiTheme="majorHAnsi" w:eastAsiaTheme="majorEastAsia" w:hAnsiTheme="majorHAnsi" w:cstheme="majorBidi"/>
      <w:color w:val="AF5700" w:themeColor="accent1" w:themeShade="BF"/>
      <w:sz w:val="32"/>
      <w:szCs w:val="32"/>
    </w:rPr>
  </w:style>
  <w:style w:type="paragraph" w:styleId="Heading2">
    <w:name w:val="heading 2"/>
    <w:basedOn w:val="Normal"/>
    <w:next w:val="Normal"/>
    <w:link w:val="Heading2Char"/>
    <w:unhideWhenUsed/>
    <w:qFormat/>
    <w:locked/>
    <w:rsid w:val="00F47052"/>
    <w:pPr>
      <w:keepNext/>
      <w:keepLines/>
      <w:spacing w:before="40" w:after="0"/>
      <w:outlineLvl w:val="1"/>
    </w:pPr>
    <w:rPr>
      <w:rFonts w:asciiTheme="minorHAnsi" w:eastAsiaTheme="majorEastAsia" w:hAnsiTheme="minorHAnsi" w:cstheme="majorBidi"/>
      <w:color w:val="EA7600" w:themeColor="accen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2678"/>
    <w:pPr>
      <w:spacing w:after="0" w:line="240" w:lineRule="auto"/>
      <w:ind w:left="720"/>
    </w:pPr>
    <w:rPr>
      <w:rFonts w:ascii="Times New Roman" w:hAnsi="Times New Roman"/>
      <w:sz w:val="24"/>
      <w:szCs w:val="24"/>
    </w:rPr>
  </w:style>
  <w:style w:type="paragraph" w:styleId="FootnoteText">
    <w:name w:val="footnote text"/>
    <w:basedOn w:val="Normal"/>
    <w:link w:val="FootnoteTextChar"/>
    <w:uiPriority w:val="99"/>
    <w:semiHidden/>
    <w:rsid w:val="00FA2678"/>
    <w:pPr>
      <w:spacing w:after="0" w:line="240" w:lineRule="auto"/>
    </w:pPr>
    <w:rPr>
      <w:rFonts w:ascii="Georgia" w:hAnsi="Georgia"/>
      <w:sz w:val="20"/>
      <w:szCs w:val="20"/>
    </w:rPr>
  </w:style>
  <w:style w:type="character" w:customStyle="1" w:styleId="FootnoteTextChar">
    <w:name w:val="Footnote Text Char"/>
    <w:basedOn w:val="DefaultParagraphFont"/>
    <w:link w:val="FootnoteText"/>
    <w:uiPriority w:val="99"/>
    <w:semiHidden/>
    <w:locked/>
    <w:rsid w:val="00FA2678"/>
    <w:rPr>
      <w:rFonts w:ascii="Georgia" w:eastAsia="Times New Roman" w:hAnsi="Georgia" w:cs="Times New Roman"/>
      <w:sz w:val="20"/>
      <w:szCs w:val="20"/>
    </w:rPr>
  </w:style>
  <w:style w:type="character" w:styleId="FootnoteReference">
    <w:name w:val="footnote reference"/>
    <w:basedOn w:val="DefaultParagraphFont"/>
    <w:uiPriority w:val="99"/>
    <w:semiHidden/>
    <w:rsid w:val="00FA2678"/>
    <w:rPr>
      <w:rFonts w:ascii="Times New Roman" w:hAnsi="Times New Roman" w:cs="Times New Roman"/>
      <w:vertAlign w:val="superscript"/>
    </w:rPr>
  </w:style>
  <w:style w:type="paragraph" w:styleId="BalloonText">
    <w:name w:val="Balloon Text"/>
    <w:basedOn w:val="Normal"/>
    <w:link w:val="BalloonTextChar"/>
    <w:uiPriority w:val="99"/>
    <w:semiHidden/>
    <w:rsid w:val="007C05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05BA"/>
    <w:rPr>
      <w:rFonts w:ascii="Tahoma" w:hAnsi="Tahoma" w:cs="Tahoma"/>
      <w:sz w:val="16"/>
      <w:szCs w:val="16"/>
    </w:rPr>
  </w:style>
  <w:style w:type="paragraph" w:styleId="Header">
    <w:name w:val="header"/>
    <w:basedOn w:val="Normal"/>
    <w:link w:val="HeaderChar"/>
    <w:uiPriority w:val="99"/>
    <w:unhideWhenUsed/>
    <w:rsid w:val="007B2776"/>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2776"/>
  </w:style>
  <w:style w:type="paragraph" w:styleId="Footer">
    <w:name w:val="footer"/>
    <w:basedOn w:val="Normal"/>
    <w:link w:val="FooterChar"/>
    <w:uiPriority w:val="99"/>
    <w:unhideWhenUsed/>
    <w:rsid w:val="007B2776"/>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2776"/>
  </w:style>
  <w:style w:type="paragraph" w:customStyle="1" w:styleId="FooterAddress1">
    <w:name w:val="Footer Address 1"/>
    <w:basedOn w:val="Normal"/>
    <w:rsid w:val="007B2776"/>
    <w:pPr>
      <w:spacing w:after="0" w:line="240" w:lineRule="auto"/>
      <w:jc w:val="center"/>
    </w:pPr>
    <w:rPr>
      <w:rFonts w:ascii="Arial" w:hAnsi="Arial"/>
      <w:color w:val="FFFFFF"/>
      <w:sz w:val="16"/>
      <w:szCs w:val="24"/>
    </w:rPr>
  </w:style>
  <w:style w:type="character" w:customStyle="1" w:styleId="Heading1Char">
    <w:name w:val="Heading 1 Char"/>
    <w:basedOn w:val="DefaultParagraphFont"/>
    <w:link w:val="Heading1"/>
    <w:uiPriority w:val="9"/>
    <w:rsid w:val="00273237"/>
    <w:rPr>
      <w:rFonts w:asciiTheme="majorHAnsi" w:eastAsiaTheme="majorEastAsia" w:hAnsiTheme="majorHAnsi" w:cstheme="majorBidi"/>
      <w:color w:val="AF5700" w:themeColor="accent1" w:themeShade="BF"/>
      <w:sz w:val="32"/>
      <w:szCs w:val="32"/>
    </w:rPr>
  </w:style>
  <w:style w:type="character" w:styleId="Hyperlink">
    <w:name w:val="Hyperlink"/>
    <w:basedOn w:val="DefaultParagraphFont"/>
    <w:uiPriority w:val="99"/>
    <w:unhideWhenUsed/>
    <w:rsid w:val="00273237"/>
    <w:rPr>
      <w:color w:val="05868E" w:themeColor="accent3"/>
      <w:u w:val="single"/>
    </w:rPr>
  </w:style>
  <w:style w:type="paragraph" w:styleId="Subtitle">
    <w:name w:val="Subtitle"/>
    <w:basedOn w:val="Normal"/>
    <w:next w:val="Normal"/>
    <w:link w:val="SubtitleChar"/>
    <w:uiPriority w:val="11"/>
    <w:qFormat/>
    <w:locked/>
    <w:rsid w:val="00273237"/>
    <w:pPr>
      <w:numPr>
        <w:ilvl w:val="1"/>
      </w:numPr>
      <w:spacing w:after="120"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273237"/>
    <w:rPr>
      <w:rFonts w:asciiTheme="majorHAnsi" w:eastAsiaTheme="majorEastAsia" w:hAnsiTheme="majorHAnsi" w:cstheme="majorBidi"/>
      <w:sz w:val="24"/>
      <w:szCs w:val="24"/>
    </w:rPr>
  </w:style>
  <w:style w:type="character" w:styleId="CommentReference">
    <w:name w:val="annotation reference"/>
    <w:basedOn w:val="DefaultParagraphFont"/>
    <w:uiPriority w:val="99"/>
    <w:semiHidden/>
    <w:unhideWhenUsed/>
    <w:rsid w:val="00C53677"/>
    <w:rPr>
      <w:sz w:val="16"/>
      <w:szCs w:val="16"/>
    </w:rPr>
  </w:style>
  <w:style w:type="paragraph" w:styleId="CommentText">
    <w:name w:val="annotation text"/>
    <w:basedOn w:val="Normal"/>
    <w:link w:val="CommentTextChar"/>
    <w:uiPriority w:val="99"/>
    <w:semiHidden/>
    <w:unhideWhenUsed/>
    <w:rsid w:val="00C53677"/>
    <w:pPr>
      <w:spacing w:line="240" w:lineRule="auto"/>
    </w:pPr>
    <w:rPr>
      <w:sz w:val="20"/>
      <w:szCs w:val="20"/>
    </w:rPr>
  </w:style>
  <w:style w:type="character" w:customStyle="1" w:styleId="CommentTextChar">
    <w:name w:val="Comment Text Char"/>
    <w:basedOn w:val="DefaultParagraphFont"/>
    <w:link w:val="CommentText"/>
    <w:uiPriority w:val="99"/>
    <w:semiHidden/>
    <w:rsid w:val="00C53677"/>
    <w:rPr>
      <w:sz w:val="20"/>
      <w:szCs w:val="20"/>
    </w:rPr>
  </w:style>
  <w:style w:type="paragraph" w:styleId="CommentSubject">
    <w:name w:val="annotation subject"/>
    <w:basedOn w:val="CommentText"/>
    <w:next w:val="CommentText"/>
    <w:link w:val="CommentSubjectChar"/>
    <w:uiPriority w:val="99"/>
    <w:semiHidden/>
    <w:unhideWhenUsed/>
    <w:rsid w:val="00C53677"/>
    <w:rPr>
      <w:b/>
      <w:bCs/>
    </w:rPr>
  </w:style>
  <w:style w:type="character" w:customStyle="1" w:styleId="CommentSubjectChar">
    <w:name w:val="Comment Subject Char"/>
    <w:basedOn w:val="CommentTextChar"/>
    <w:link w:val="CommentSubject"/>
    <w:uiPriority w:val="99"/>
    <w:semiHidden/>
    <w:rsid w:val="00C53677"/>
    <w:rPr>
      <w:b/>
      <w:bCs/>
      <w:sz w:val="20"/>
      <w:szCs w:val="20"/>
    </w:rPr>
  </w:style>
  <w:style w:type="character" w:styleId="FollowedHyperlink">
    <w:name w:val="FollowedHyperlink"/>
    <w:basedOn w:val="DefaultParagraphFont"/>
    <w:uiPriority w:val="99"/>
    <w:semiHidden/>
    <w:unhideWhenUsed/>
    <w:rsid w:val="00AE1954"/>
    <w:rPr>
      <w:color w:val="800080" w:themeColor="followedHyperlink"/>
      <w:u w:val="single"/>
    </w:rPr>
  </w:style>
  <w:style w:type="character" w:customStyle="1" w:styleId="Heading2Char">
    <w:name w:val="Heading 2 Char"/>
    <w:basedOn w:val="DefaultParagraphFont"/>
    <w:link w:val="Heading2"/>
    <w:rsid w:val="00F47052"/>
    <w:rPr>
      <w:rFonts w:asciiTheme="minorHAnsi" w:eastAsiaTheme="majorEastAsia" w:hAnsiTheme="minorHAnsi" w:cstheme="majorBidi"/>
      <w:color w:val="EA7600" w:themeColor="accent1"/>
      <w:sz w:val="28"/>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7106933">
      <w:marLeft w:val="0"/>
      <w:marRight w:val="0"/>
      <w:marTop w:val="0"/>
      <w:marBottom w:val="0"/>
      <w:divBdr>
        <w:top w:val="none" w:sz="0" w:space="0" w:color="auto"/>
        <w:left w:val="none" w:sz="0" w:space="0" w:color="auto"/>
        <w:bottom w:val="none" w:sz="0" w:space="0" w:color="auto"/>
        <w:right w:val="none" w:sz="0" w:space="0" w:color="auto"/>
      </w:divBdr>
    </w:div>
    <w:div w:id="957106934">
      <w:marLeft w:val="0"/>
      <w:marRight w:val="0"/>
      <w:marTop w:val="0"/>
      <w:marBottom w:val="0"/>
      <w:divBdr>
        <w:top w:val="none" w:sz="0" w:space="0" w:color="auto"/>
        <w:left w:val="none" w:sz="0" w:space="0" w:color="auto"/>
        <w:bottom w:val="none" w:sz="0" w:space="0" w:color="auto"/>
        <w:right w:val="none" w:sz="0" w:space="0" w:color="auto"/>
      </w:divBdr>
    </w:div>
    <w:div w:id="1547644059">
      <w:bodyDiv w:val="1"/>
      <w:marLeft w:val="0"/>
      <w:marRight w:val="0"/>
      <w:marTop w:val="0"/>
      <w:marBottom w:val="0"/>
      <w:divBdr>
        <w:top w:val="none" w:sz="0" w:space="0" w:color="auto"/>
        <w:left w:val="none" w:sz="0" w:space="0" w:color="auto"/>
        <w:bottom w:val="none" w:sz="0" w:space="0" w:color="auto"/>
        <w:right w:val="none" w:sz="0" w:space="0" w:color="auto"/>
      </w:divBdr>
      <w:divsChild>
        <w:div w:id="714621114">
          <w:marLeft w:val="0"/>
          <w:marRight w:val="0"/>
          <w:marTop w:val="0"/>
          <w:marBottom w:val="0"/>
          <w:divBdr>
            <w:top w:val="none" w:sz="0" w:space="0" w:color="auto"/>
            <w:left w:val="none" w:sz="0" w:space="0" w:color="auto"/>
            <w:bottom w:val="none" w:sz="0" w:space="0" w:color="auto"/>
            <w:right w:val="none" w:sz="0" w:space="0" w:color="auto"/>
          </w:divBdr>
        </w:div>
        <w:div w:id="12888521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CPR Palette">
      <a:dk1>
        <a:sysClr val="windowText" lastClr="000000"/>
      </a:dk1>
      <a:lt1>
        <a:sysClr val="window" lastClr="FFFFFF"/>
      </a:lt1>
      <a:dk2>
        <a:srgbClr val="1F497D"/>
      </a:dk2>
      <a:lt2>
        <a:srgbClr val="EEECE1"/>
      </a:lt2>
      <a:accent1>
        <a:srgbClr val="EA7600"/>
      </a:accent1>
      <a:accent2>
        <a:srgbClr val="333F48"/>
      </a:accent2>
      <a:accent3>
        <a:srgbClr val="05868E"/>
      </a:accent3>
      <a:accent4>
        <a:srgbClr val="A9C23F"/>
      </a:accent4>
      <a:accent5>
        <a:srgbClr val="BC204B"/>
      </a:accent5>
      <a:accent6>
        <a:srgbClr val="EAAA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C43FE01A04F8E4097312A8D07F63D62" ma:contentTypeVersion="3" ma:contentTypeDescription="Create a new document." ma:contentTypeScope="" ma:versionID="889303795d091939dc0238fcc82cfe60">
  <xsd:schema xmlns:xsd="http://www.w3.org/2001/XMLSchema" xmlns:xs="http://www.w3.org/2001/XMLSchema" xmlns:p="http://schemas.microsoft.com/office/2006/metadata/properties" xmlns:ns2="64c5c5ba-17c3-45d0-9d1a-db582968c880" targetNamespace="http://schemas.microsoft.com/office/2006/metadata/properties" ma:root="true" ma:fieldsID="6ec14936e302750c1b7b8641690fb315" ns2:_="">
    <xsd:import namespace="64c5c5ba-17c3-45d0-9d1a-db582968c880"/>
    <xsd:element name="properties">
      <xsd:complexType>
        <xsd:sequence>
          <xsd:element name="documentManagement">
            <xsd:complexType>
              <xsd:all>
                <xsd:element ref="ns2:SharedWithUsers" minOccurs="0"/>
                <xsd:element ref="ns2:SharingHintHash"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c5c5ba-17c3-45d0-9d1a-db582968c88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F1B8D-3C15-4FC7-8847-CE532E427C9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0215366-4371-406D-B593-E60EEAF05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c5c5ba-17c3-45d0-9d1a-db582968c88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AD0D2B-F047-477C-97BB-EE1D0343A1F2}">
  <ds:schemaRefs>
    <ds:schemaRef ds:uri="http://schemas.microsoft.com/sharepoint/v3/contenttype/forms"/>
  </ds:schemaRefs>
</ds:datastoreItem>
</file>

<file path=customXml/itemProps4.xml><?xml version="1.0" encoding="utf-8"?>
<ds:datastoreItem xmlns:ds="http://schemas.openxmlformats.org/officeDocument/2006/customXml" ds:itemID="{50318815-E146-4DFA-A25E-99F9DCD99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4491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Outline of CPR letter to DOJ/FTC</vt:lpstr>
    </vt:vector>
  </TitlesOfParts>
  <Company>Pacific Business Group on Health</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Outline of CPR letter to DOJ/FTC</dc:title>
  <dc:subject/>
  <dc:creator>sdelbanco</dc:creator>
  <cp:keywords/>
  <dc:description/>
  <cp:lastModifiedBy>Gabriella Klein</cp:lastModifiedBy>
  <cp:revision>2</cp:revision>
  <cp:lastPrinted>2011-06-07T15:56:00Z</cp:lastPrinted>
  <dcterms:created xsi:type="dcterms:W3CDTF">2021-03-03T20:01:00Z</dcterms:created>
  <dcterms:modified xsi:type="dcterms:W3CDTF">2021-03-03T20:01:00Z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0x0101003C43FE01A04F8E4097312A8D07F63D62</vt:lpwstr>
  </property>
</Properties>
</file>